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AAAB54" w14:textId="77777777" w:rsidR="00386EB5" w:rsidRPr="007667C4" w:rsidRDefault="00025B5F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>
        <w:rPr>
          <w:rFonts w:ascii="Arial Narrow" w:hAnsi="Arial Narrow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FCBA5" wp14:editId="75745254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5388610" cy="733425"/>
                <wp:effectExtent l="0" t="0" r="28575" b="28575"/>
                <wp:wrapSquare wrapText="bothSides"/>
                <wp:docPr id="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610" cy="733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026458" w14:textId="77777777" w:rsidR="00025B5F" w:rsidRPr="00EC7B14" w:rsidRDefault="00025B5F" w:rsidP="00025B5F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B1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DECLARACIÓN RELATIVA A LA CONDICIÓN DE PYME</w:t>
                            </w:r>
                          </w:p>
                          <w:p w14:paraId="20D04A07" w14:textId="77777777" w:rsidR="00025B5F" w:rsidRPr="00025B5F" w:rsidRDefault="00025B5F" w:rsidP="00025B5F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25B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ES_tradnl" w:eastAsia="es-ES"/>
                              </w:rPr>
                              <w:t>(ANEXO I Reglamento (UE) 651/2014 de la Comisión, de 17 de junio 2014, por el que se declaran determinadas categorías de ayudas compatibles con el mercado interior en aplicación de los artículos 107 y 108 del Tratado)</w:t>
                            </w:r>
                          </w:p>
                          <w:p w14:paraId="71B4C203" w14:textId="7B3828EA" w:rsidR="00025B5F" w:rsidRDefault="00025B5F" w:rsidP="00025B5F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Convocatoria realización de proyectos I+D 20</w:t>
                            </w:r>
                            <w:r w:rsidR="009603F3"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en áreas prioritarias de la RIS3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3FCBA5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left:0;text-align:left;margin-left:0;margin-top:12.2pt;width:424.3pt;height:57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" fillcolor="#e7e6e6 [3214]" strokeweight=".25pt">
                <v:textbox inset="0,0,0,0">
                  <w:txbxContent>
                    <w:p w14:paraId="32026458" w14:textId="77777777" w:rsidR="00025B5F" w:rsidRPr="00EC7B14" w:rsidRDefault="00025B5F" w:rsidP="00025B5F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EC7B1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DECLARACIÓN RELATIVA A LA CONDICIÓN DE PYME</w:t>
                      </w:r>
                    </w:p>
                    <w:p w14:paraId="20D04A07" w14:textId="77777777" w:rsidR="00025B5F" w:rsidRPr="00025B5F" w:rsidRDefault="00025B5F" w:rsidP="00025B5F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25B5F">
                        <w:rPr>
                          <w:rFonts w:ascii="Arial Narrow" w:hAnsi="Arial Narrow" w:cs="Arial"/>
                          <w:sz w:val="18"/>
                          <w:szCs w:val="18"/>
                          <w:lang w:val="es-ES_tradnl" w:eastAsia="es-ES"/>
                        </w:rPr>
                        <w:t>(ANEXO I Reglamento (UE) 651/2014 de la Comisión, de 17 de junio 2014, por el que se declaran determinadas categorías de ayudas compatibles con el mercado interior en aplicación de los artículos 107 y 108 del Tratado)</w:t>
                      </w:r>
                    </w:p>
                    <w:p w14:paraId="71B4C203" w14:textId="7B3828EA" w:rsidR="00025B5F" w:rsidRDefault="00025B5F" w:rsidP="00025B5F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Convocatoria realización de proyectos I+D 20</w:t>
                      </w:r>
                      <w:r w:rsidR="009603F3"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>17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en áreas prioritarias de la RIS3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7BB4BE" w14:textId="77777777" w:rsidR="00166DFF" w:rsidRPr="007667C4" w:rsidRDefault="00D2219B" w:rsidP="00025B5F">
      <w:pPr>
        <w:pStyle w:val="Standard"/>
        <w:numPr>
          <w:ilvl w:val="0"/>
          <w:numId w:val="14"/>
        </w:numPr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Identificación de la empresa</w:t>
      </w:r>
    </w:p>
    <w:p w14:paraId="26D1C759" w14:textId="77777777"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58D97181" w14:textId="77777777"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Nombre o razón social:</w:t>
      </w:r>
    </w:p>
    <w:p w14:paraId="28E44957" w14:textId="77777777"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58DE6286" w14:textId="77777777"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Domicilio Social:</w:t>
      </w:r>
    </w:p>
    <w:p w14:paraId="6676994D" w14:textId="77777777"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6EE40B04" w14:textId="77777777"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N.I.F:</w:t>
      </w:r>
    </w:p>
    <w:p w14:paraId="3D8795CF" w14:textId="77777777"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158AFBB2" w14:textId="77777777"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Nombre y cargo del principal directivo:</w:t>
      </w:r>
    </w:p>
    <w:p w14:paraId="0FE698CF" w14:textId="77777777"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1C80F912" w14:textId="77777777" w:rsidR="00166DFF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 xml:space="preserve">Es Pyme: </w:t>
      </w:r>
      <w:r w:rsidR="000806AC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ab/>
      </w:r>
      <w:r w:rsidR="000806AC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ab/>
        <w:t>□ SI</w:t>
      </w:r>
      <w:r w:rsidR="000806AC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ab/>
      </w:r>
      <w:r w:rsidR="009E01BB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NO</w:t>
      </w:r>
    </w:p>
    <w:p w14:paraId="1ADFE00A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19A29176" w14:textId="77777777" w:rsidR="009E01BB" w:rsidRPr="009C02ED" w:rsidRDefault="009E01BB" w:rsidP="00025B5F">
      <w:pPr>
        <w:pStyle w:val="Standard"/>
        <w:numPr>
          <w:ilvl w:val="0"/>
          <w:numId w:val="14"/>
        </w:numPr>
        <w:jc w:val="both"/>
        <w:rPr>
          <w:rFonts w:ascii="Arial Narrow" w:hAnsi="Arial Narrow" w:cs="Arial"/>
          <w:b/>
          <w:bCs/>
          <w:i/>
          <w:iCs/>
          <w:sz w:val="20"/>
          <w:szCs w:val="20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 xml:space="preserve">Tipo de empresa </w:t>
      </w:r>
      <w:r w:rsidRPr="009C02ED">
        <w:rPr>
          <w:rFonts w:ascii="Arial Narrow" w:hAnsi="Arial Narrow" w:cs="Arial"/>
          <w:b/>
          <w:bCs/>
          <w:i/>
          <w:iCs/>
          <w:sz w:val="20"/>
          <w:szCs w:val="20"/>
          <w:lang w:val="es-ES_tradnl" w:eastAsia="es-ES"/>
        </w:rPr>
        <w:t>(véase la nota explicativa)</w:t>
      </w:r>
    </w:p>
    <w:p w14:paraId="0CB32DB1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50ECA043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Empresa autónoma</w:t>
      </w:r>
    </w:p>
    <w:p w14:paraId="20CD16B0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76EC2A70" w14:textId="77777777"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Empresa asociada</w:t>
      </w:r>
    </w:p>
    <w:p w14:paraId="5D24F5FC" w14:textId="77777777"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6DFDA294" w14:textId="77777777"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Empresa vinculada</w:t>
      </w:r>
    </w:p>
    <w:p w14:paraId="36530665" w14:textId="77777777"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2A2929A2" w14:textId="77777777" w:rsidR="009E01BB" w:rsidRPr="007667C4" w:rsidRDefault="009E01BB" w:rsidP="00025B5F">
      <w:pPr>
        <w:pStyle w:val="Standard"/>
        <w:numPr>
          <w:ilvl w:val="0"/>
          <w:numId w:val="14"/>
        </w:numPr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Datos para determinar la categoría de la empresa</w:t>
      </w:r>
    </w:p>
    <w:p w14:paraId="082EF6A2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0CB862F8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Importante: Estos datos se calcularán según lo dispuesto en el artículo 4 y 6 del anexo del Reglamento (UE) 651/2014/ de la Comisión, sobre la definición de pequeñas y medianas empresas.</w:t>
      </w:r>
    </w:p>
    <w:p w14:paraId="18B98DD3" w14:textId="77777777" w:rsidR="005C1F5D" w:rsidRPr="007667C4" w:rsidRDefault="005C1F5D" w:rsidP="005C1F5D">
      <w:pPr>
        <w:pBdr>
          <w:bottom w:val="single" w:sz="4" w:space="1" w:color="auto"/>
        </w:pBd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2182A74E" w14:textId="77777777" w:rsidR="005C1F5D" w:rsidRPr="007667C4" w:rsidRDefault="005C1F5D">
      <w:pP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Periodo de referencia (*) 20</w:t>
      </w:r>
      <w:r w:rsidR="001853DF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2</w:t>
      </w: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_</w:t>
      </w:r>
    </w:p>
    <w:p w14:paraId="2C591209" w14:textId="77777777" w:rsidR="005C1F5D" w:rsidRPr="007667C4" w:rsidRDefault="005C1F5D">
      <w:pP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C1F5D" w:rsidRPr="007667C4" w14:paraId="09034361" w14:textId="77777777" w:rsidTr="005C1F5D">
        <w:tc>
          <w:tcPr>
            <w:tcW w:w="3020" w:type="dxa"/>
          </w:tcPr>
          <w:p w14:paraId="7015ADAC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Efectivo (UTA)</w:t>
            </w:r>
          </w:p>
        </w:tc>
        <w:tc>
          <w:tcPr>
            <w:tcW w:w="3020" w:type="dxa"/>
          </w:tcPr>
          <w:p w14:paraId="0AB4877D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Volumen de negocios (**)</w:t>
            </w:r>
          </w:p>
        </w:tc>
        <w:tc>
          <w:tcPr>
            <w:tcW w:w="3021" w:type="dxa"/>
          </w:tcPr>
          <w:p w14:paraId="4ABE7E62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Balance general (**)</w:t>
            </w:r>
          </w:p>
        </w:tc>
      </w:tr>
      <w:tr w:rsidR="005C1F5D" w:rsidRPr="007667C4" w14:paraId="64772E9E" w14:textId="77777777" w:rsidTr="005C1F5D">
        <w:tc>
          <w:tcPr>
            <w:tcW w:w="3020" w:type="dxa"/>
          </w:tcPr>
          <w:p w14:paraId="5D3CA88B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3020" w:type="dxa"/>
          </w:tcPr>
          <w:p w14:paraId="7B1AC132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3021" w:type="dxa"/>
          </w:tcPr>
          <w:p w14:paraId="4C72A029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</w:tc>
      </w:tr>
    </w:tbl>
    <w:p w14:paraId="4B44488D" w14:textId="77777777" w:rsidR="005C1F5D" w:rsidRPr="007667C4" w:rsidRDefault="00AD46E9" w:rsidP="00386EB5">
      <w:pPr>
        <w:suppressAutoHyphens w:val="0"/>
        <w:jc w:val="both"/>
        <w:textAlignment w:val="auto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(*) Todos los datos</w:t>
      </w:r>
      <w:r w:rsidR="00E3698B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 xml:space="preserve"> deberán corresponder al último ejercicio contable cerrado y se calcularán con carácter anual. En empresas de nueva creación que no han cerrado aún sus cuentas, se utilizarán datos basados en estimaciones fiables realizadas durante el ejercicio financiero.</w:t>
      </w:r>
    </w:p>
    <w:p w14:paraId="15A02B4F" w14:textId="77777777" w:rsidR="00E3698B" w:rsidRPr="007667C4" w:rsidRDefault="00E3698B">
      <w:pPr>
        <w:suppressAutoHyphens w:val="0"/>
        <w:textAlignment w:val="auto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3CAA2042" w14:textId="77777777" w:rsidR="00E3698B" w:rsidRPr="007667C4" w:rsidRDefault="00E3698B">
      <w:pPr>
        <w:suppressAutoHyphens w:val="0"/>
        <w:textAlignment w:val="auto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(**) En miles de euros.</w:t>
      </w:r>
    </w:p>
    <w:p w14:paraId="65A46468" w14:textId="77777777" w:rsidR="005C1F5D" w:rsidRPr="007667C4" w:rsidRDefault="005C1F5D" w:rsidP="00E3698B">
      <w:pPr>
        <w:pBdr>
          <w:bottom w:val="single" w:sz="4" w:space="1" w:color="auto"/>
        </w:pBd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6EACE137" w14:textId="77777777" w:rsidR="005C1F5D" w:rsidRPr="007667C4" w:rsidRDefault="005C1F5D">
      <w:pP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7C551FBB" w14:textId="77777777" w:rsidR="00CB4CEE" w:rsidRDefault="00CB4CEE" w:rsidP="00CB4CEE">
      <w:pPr>
        <w:pStyle w:val="Standard"/>
        <w:spacing w:line="36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lang w:eastAsia="es-ES"/>
        </w:rPr>
        <w:t>En …...................................... a …....... de ….......................... de ……….</w:t>
      </w:r>
    </w:p>
    <w:p w14:paraId="68AF3B0C" w14:textId="77777777" w:rsidR="00CB4CEE" w:rsidRDefault="00CB4CEE" w:rsidP="00CB4CEE">
      <w:pPr>
        <w:pStyle w:val="Standard"/>
        <w:spacing w:line="360" w:lineRule="auto"/>
        <w:jc w:val="both"/>
        <w:rPr>
          <w:rFonts w:ascii="Arial Narrow" w:hAnsi="Arial Narrow" w:cs="Arial"/>
          <w:b/>
          <w:bCs/>
          <w:lang w:eastAsia="es-ES"/>
        </w:rPr>
      </w:pPr>
    </w:p>
    <w:p w14:paraId="25792DC7" w14:textId="05CB8FDD" w:rsidR="00CB4CEE" w:rsidRDefault="00CB4CEE" w:rsidP="00CB4CEE">
      <w:pPr>
        <w:pStyle w:val="Standard"/>
        <w:spacing w:line="36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Firma y sello de la entidad:</w:t>
      </w:r>
    </w:p>
    <w:p w14:paraId="72795FFD" w14:textId="77777777" w:rsidR="00D2219B" w:rsidRPr="007667C4" w:rsidRDefault="00D2219B">
      <w:pPr>
        <w:suppressAutoHyphens w:val="0"/>
        <w:textAlignment w:val="auto"/>
        <w:rPr>
          <w:rFonts w:ascii="Arial Narrow" w:eastAsia="Times New Roman" w:hAnsi="Arial Narrow" w:cs="Arial"/>
          <w:b/>
          <w:bCs/>
          <w:sz w:val="22"/>
          <w:szCs w:val="22"/>
          <w:lang w:val="es-ES_tradnl" w:eastAsia="es-ES" w:bidi="ar-SA"/>
        </w:rPr>
      </w:pPr>
    </w:p>
    <w:p w14:paraId="35647116" w14:textId="77777777" w:rsidR="00166DFF" w:rsidRPr="007667C4" w:rsidRDefault="00166DFF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69531C5A" w14:textId="77777777" w:rsidR="00025B5F" w:rsidRDefault="00025B5F" w:rsidP="00025B5F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</w:p>
    <w:p w14:paraId="34738DD9" w14:textId="77777777" w:rsidR="00D2219B" w:rsidRPr="007667C4" w:rsidRDefault="00D2219B" w:rsidP="00025B5F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  <w:r w:rsidRPr="007667C4"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  <w:t>NOTA EXPLICATIVA</w:t>
      </w:r>
    </w:p>
    <w:p w14:paraId="50159FEA" w14:textId="77777777" w:rsidR="00D2219B" w:rsidRPr="007667C4" w:rsidRDefault="00D2219B" w:rsidP="00D2219B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</w:p>
    <w:p w14:paraId="68A4A4EE" w14:textId="77777777" w:rsidR="00D2219B" w:rsidRPr="007667C4" w:rsidRDefault="00D2219B" w:rsidP="00D2219B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  <w:r w:rsidRPr="007667C4"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  <w:t>RELATIVA A LOS TIPOS DE EMPRESAS CONSIDERADOS PARA CALCULAR LOS EFECTIVOS Y LOS</w:t>
      </w:r>
    </w:p>
    <w:p w14:paraId="0F581EE6" w14:textId="77777777" w:rsidR="00D2219B" w:rsidRPr="007667C4" w:rsidRDefault="00D2219B" w:rsidP="00D2219B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  <w:r w:rsidRPr="007667C4"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  <w:t>IMPORTES FINANCIEROS</w:t>
      </w:r>
    </w:p>
    <w:p w14:paraId="42A60844" w14:textId="77777777" w:rsidR="00D2219B" w:rsidRPr="007667C4" w:rsidRDefault="00D2219B" w:rsidP="00D2219B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color w:val="000000"/>
          <w:sz w:val="22"/>
          <w:szCs w:val="22"/>
          <w:lang w:bidi="ar-SA"/>
        </w:rPr>
      </w:pPr>
    </w:p>
    <w:p w14:paraId="7697E0B5" w14:textId="77777777" w:rsidR="00025B5F" w:rsidRPr="000806AC" w:rsidRDefault="00025B5F" w:rsidP="00025B5F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806AC">
        <w:rPr>
          <w:rFonts w:ascii="Arial Narrow" w:hAnsi="Arial Narrow"/>
          <w:b/>
          <w:color w:val="000000"/>
          <w:sz w:val="20"/>
          <w:szCs w:val="20"/>
        </w:rPr>
        <w:t>TIPOS DE EMPRESAS</w:t>
      </w:r>
    </w:p>
    <w:p w14:paraId="3B946EF3" w14:textId="77777777" w:rsidR="00025B5F" w:rsidRPr="00D2219B" w:rsidRDefault="00025B5F" w:rsidP="00025B5F">
      <w:pPr>
        <w:pStyle w:val="Prrafodelista"/>
        <w:suppressAutoHyphens w:val="0"/>
        <w:autoSpaceDE w:val="0"/>
        <w:autoSpaceDN w:val="0"/>
        <w:adjustRightInd w:val="0"/>
        <w:ind w:left="720"/>
        <w:jc w:val="both"/>
        <w:rPr>
          <w:rFonts w:ascii="Arial Narrow" w:hAnsi="Arial Narrow"/>
          <w:color w:val="000000"/>
          <w:sz w:val="20"/>
          <w:szCs w:val="20"/>
        </w:rPr>
      </w:pPr>
    </w:p>
    <w:p w14:paraId="48712908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La definición de PYME </w:t>
      </w:r>
      <w:r w:rsidRPr="00D2219B">
        <w:rPr>
          <w:rFonts w:ascii="Arial Narrow" w:hAnsi="Arial Narrow" w:cs="Arial"/>
          <w:iCs/>
          <w:color w:val="000000"/>
          <w:sz w:val="20"/>
          <w:szCs w:val="20"/>
          <w:lang w:bidi="ar-SA"/>
        </w:rPr>
        <w:t>(</w:t>
      </w:r>
      <w:r w:rsidRPr="00D2219B">
        <w:rPr>
          <w:rFonts w:ascii="Arial Narrow" w:hAnsi="Arial Narrow" w:cs="Times New Roman"/>
          <w:color w:val="000000"/>
          <w:sz w:val="20"/>
          <w:szCs w:val="20"/>
          <w:vertAlign w:val="superscript"/>
          <w:lang w:bidi="ar-SA"/>
        </w:rPr>
        <w:t>1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) distingue tres tipos de empresa en función del tipo de relación que mantiene con otras empresas</w:t>
      </w:r>
    </w:p>
    <w:p w14:paraId="3840000F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respecto a participación en el capital, derechos de voto o derecho a ejercer una influencia dominante </w:t>
      </w:r>
      <w:r w:rsidRPr="00D2219B">
        <w:rPr>
          <w:rFonts w:ascii="Arial Narrow" w:hAnsi="Arial Narrow" w:cs="Arial"/>
          <w:iCs/>
          <w:color w:val="000000"/>
          <w:sz w:val="20"/>
          <w:szCs w:val="20"/>
          <w:lang w:bidi="ar-SA"/>
        </w:rPr>
        <w:t>(</w:t>
      </w:r>
      <w:r w:rsidRPr="00D2219B">
        <w:rPr>
          <w:rFonts w:ascii="Arial Narrow" w:hAnsi="Arial Narrow" w:cs="Arial"/>
          <w:iCs/>
          <w:color w:val="000000"/>
          <w:sz w:val="20"/>
          <w:szCs w:val="20"/>
          <w:vertAlign w:val="superscript"/>
          <w:lang w:bidi="ar-SA"/>
        </w:rPr>
        <w:t>2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)</w:t>
      </w:r>
    </w:p>
    <w:p w14:paraId="0A4F055C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148D5FF5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  <w:t>Tipo 1: empresa autónoma</w:t>
      </w:r>
    </w:p>
    <w:p w14:paraId="0EA70310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</w:p>
    <w:p w14:paraId="382D341C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Es con diferencia el caso más frecuente. Abarca todas las empresas que no pertenecen a ninguno de los otros dos tipos</w:t>
      </w:r>
    </w:p>
    <w:p w14:paraId="3934F1F6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(asociadas o vinculadas).</w:t>
      </w:r>
    </w:p>
    <w:p w14:paraId="3F333166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29FAF763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  <w:t>La empresa solicitante es autónoma si:</w:t>
      </w:r>
    </w:p>
    <w:p w14:paraId="1BF168EF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</w:p>
    <w:p w14:paraId="175355BE" w14:textId="77777777" w:rsidR="00025B5F" w:rsidRDefault="00025B5F" w:rsidP="00025B5F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D2219B">
        <w:rPr>
          <w:rFonts w:ascii="Arial Narrow" w:hAnsi="Arial Narrow"/>
          <w:color w:val="000000"/>
          <w:sz w:val="20"/>
          <w:szCs w:val="20"/>
        </w:rPr>
        <w:t>no posee una participación igualo superior al 25% 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>
        <w:rPr>
          <w:rFonts w:ascii="Arial Narrow" w:hAnsi="Arial Narrow"/>
          <w:color w:val="000000"/>
          <w:sz w:val="20"/>
          <w:szCs w:val="20"/>
        </w:rPr>
        <w:t>)</w:t>
      </w:r>
      <w:r w:rsidRPr="00D2219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2219B">
        <w:rPr>
          <w:rFonts w:ascii="Arial Narrow" w:hAnsi="Arial Narrow"/>
          <w:color w:val="000000"/>
          <w:sz w:val="20"/>
          <w:szCs w:val="20"/>
        </w:rPr>
        <w:t>en otra empresa.</w:t>
      </w:r>
    </w:p>
    <w:p w14:paraId="730D2759" w14:textId="77777777" w:rsidR="00025B5F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  <w:sz w:val="20"/>
          <w:szCs w:val="20"/>
        </w:rPr>
      </w:pPr>
    </w:p>
    <w:p w14:paraId="5AAB6C8E" w14:textId="77777777" w:rsidR="00025B5F" w:rsidRPr="00D2219B" w:rsidRDefault="00025B5F" w:rsidP="00025B5F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D2219B">
        <w:rPr>
          <w:rFonts w:ascii="Arial Narrow" w:hAnsi="Arial Narrow"/>
          <w:color w:val="000000"/>
          <w:sz w:val="20"/>
          <w:szCs w:val="20"/>
        </w:rPr>
        <w:t>el 25 % 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>
        <w:rPr>
          <w:rFonts w:ascii="Arial Narrow" w:hAnsi="Arial Narrow"/>
          <w:color w:val="000000"/>
          <w:sz w:val="20"/>
          <w:szCs w:val="20"/>
        </w:rPr>
        <w:t>)</w:t>
      </w:r>
      <w:r w:rsidRPr="00D2219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2219B">
        <w:rPr>
          <w:rFonts w:ascii="Arial Narrow" w:hAnsi="Arial Narrow"/>
          <w:color w:val="000000"/>
          <w:sz w:val="20"/>
          <w:szCs w:val="20"/>
        </w:rPr>
        <w:t>o más de la misma no es propiedad directa de otra empresa u organismo público ni de varias empresas</w:t>
      </w:r>
    </w:p>
    <w:p w14:paraId="7D705AB9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vinculadas entre sí o varios organismos públicos, salvo determinadas excepciones (</w:t>
      </w:r>
      <w:r w:rsidRPr="00D2219B">
        <w:rPr>
          <w:rFonts w:ascii="Arial Narrow" w:hAnsi="Arial Narrow" w:cs="Times New Roman"/>
          <w:color w:val="000000"/>
          <w:sz w:val="20"/>
          <w:szCs w:val="20"/>
          <w:vertAlign w:val="superscript"/>
          <w:lang w:bidi="ar-SA"/>
        </w:rPr>
        <w:t>4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>).</w:t>
      </w:r>
    </w:p>
    <w:p w14:paraId="5A5574ED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1B737C8B" w14:textId="77777777" w:rsidR="00025B5F" w:rsidRDefault="00025B5F" w:rsidP="00025B5F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0806AC">
        <w:rPr>
          <w:rFonts w:ascii="Arial Narrow" w:hAnsi="Arial Narrow"/>
          <w:color w:val="000000"/>
          <w:sz w:val="20"/>
          <w:szCs w:val="20"/>
        </w:rPr>
        <w:t>y no elabora cuentas consolidadas, ni está incluida en las cuentas de una empresa que elabore cuentas consolidadas, y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por tanto no es una empresa vinculada </w:t>
      </w:r>
      <w:r w:rsidRPr="00D2219B">
        <w:rPr>
          <w:rFonts w:ascii="Arial Narrow" w:hAnsi="Arial Narrow"/>
          <w:color w:val="000000"/>
          <w:sz w:val="20"/>
          <w:szCs w:val="20"/>
        </w:rPr>
        <w:t>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5</w:t>
      </w:r>
      <w:r>
        <w:rPr>
          <w:rFonts w:ascii="Arial Narrow" w:hAnsi="Arial Narrow"/>
          <w:color w:val="000000"/>
          <w:sz w:val="20"/>
          <w:szCs w:val="20"/>
        </w:rPr>
        <w:t>).</w:t>
      </w:r>
    </w:p>
    <w:p w14:paraId="387DAF2C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48B5FA2F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  <w:t>Tipo 2: empresa asociada</w:t>
      </w:r>
    </w:p>
    <w:p w14:paraId="084BB6B1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</w:p>
    <w:p w14:paraId="5BAC6111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Este tipo está constituido por las empresas que mantienen lazos significativos de asociación financiera con otras empresas,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sin que ninguna ejerza, directa o indirectamente, un control efectivo sobre la otra. Son asoc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iadas las empresas que ni son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autónomas ni están vinculadas entre sí.</w:t>
      </w:r>
    </w:p>
    <w:p w14:paraId="7F14AEED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5787AD90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  <w:t>La empresa solicitante es asociada de otra empresa si:</w:t>
      </w:r>
    </w:p>
    <w:p w14:paraId="0B1A43B5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</w:p>
    <w:p w14:paraId="09A43ACB" w14:textId="77777777" w:rsidR="00025B5F" w:rsidRPr="000806AC" w:rsidRDefault="00025B5F" w:rsidP="00025B5F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0806AC">
        <w:rPr>
          <w:rFonts w:ascii="Arial Narrow" w:hAnsi="Arial Narrow"/>
          <w:color w:val="000000"/>
          <w:sz w:val="20"/>
          <w:szCs w:val="20"/>
        </w:rPr>
        <w:t>posee una participación comprendida entre el 25 %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>y el 50 %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de dicha empresa, </w:t>
      </w:r>
    </w:p>
    <w:p w14:paraId="7C702E85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76B5AE08" w14:textId="77777777" w:rsidR="00025B5F" w:rsidRPr="000806AC" w:rsidRDefault="00025B5F" w:rsidP="00025B5F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0806AC">
        <w:rPr>
          <w:rFonts w:ascii="Arial Narrow" w:hAnsi="Arial Narrow"/>
          <w:color w:val="000000"/>
          <w:sz w:val="20"/>
          <w:szCs w:val="20"/>
        </w:rPr>
        <w:t>si dicha empresa posee una participación comprendida entre el 25 %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y 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el </w:t>
      </w:r>
      <w:r w:rsidRPr="000806AC">
        <w:rPr>
          <w:rFonts w:ascii="Arial Narrow" w:hAnsi="Arial Narrow"/>
          <w:color w:val="000000"/>
          <w:sz w:val="20"/>
          <w:szCs w:val="20"/>
        </w:rPr>
        <w:t>50 %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de la empresa solicitante, y la empresa solicitante no elabora cuentas consolidadas que incluyan a dicha empresa por consolidación, ni está incluida por consolidación en las cuentas de dicha empresa ni en las de ninguna empresa vinculada a ella </w:t>
      </w:r>
      <w:r w:rsidRPr="00D2219B">
        <w:rPr>
          <w:rFonts w:ascii="Arial Narrow" w:hAnsi="Arial Narrow"/>
          <w:color w:val="000000"/>
          <w:sz w:val="20"/>
          <w:szCs w:val="20"/>
        </w:rPr>
        <w:t>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5</w:t>
      </w:r>
      <w:r>
        <w:rPr>
          <w:rFonts w:ascii="Arial Narrow" w:hAnsi="Arial Narrow"/>
          <w:color w:val="000000"/>
          <w:sz w:val="20"/>
          <w:szCs w:val="20"/>
        </w:rPr>
        <w:t>).</w:t>
      </w:r>
    </w:p>
    <w:p w14:paraId="32E263B7" w14:textId="77777777" w:rsidR="00025B5F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3218323B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  <w:t>Tipo 3: empresa vinculada</w:t>
      </w:r>
    </w:p>
    <w:p w14:paraId="654BD799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299B0471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Este tipo corresponde a la situación económica de las empresas que forman parte de u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n grupo que controla, directa o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indirectamente, la mayoría de su capital o derechos de voto (aunque sea a través de acuerdos o de personas físicas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accionistas), o que puede ejercer una influencia dominante sobre la empresa. Son casos men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os habituales que en general se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diferencian claramente de los dos tipos anteriores.</w:t>
      </w:r>
    </w:p>
    <w:p w14:paraId="3B062031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Para evitar dificultades de interpretación a las empresas, la Comisión Europea ha definido es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te tipo de empresas utilizando,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cuando se adapten al objeto de la definición, las condiciones incluidas en el artículo 1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de la Directiva 83/349/CEE del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Consejo, de 13 de junio de 1983, basada en la letra g) del apartado 3 del artículo 54 del 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Tratado, relativa a las cuentas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consolidadas (</w:t>
      </w:r>
      <w:r w:rsidRPr="000806AC">
        <w:rPr>
          <w:rFonts w:ascii="Arial Narrow" w:hAnsi="Arial Narrow" w:cs="Times New Roman"/>
          <w:color w:val="000000"/>
          <w:sz w:val="20"/>
          <w:szCs w:val="20"/>
          <w:vertAlign w:val="superscript"/>
          <w:lang w:bidi="ar-SA"/>
        </w:rPr>
        <w:t>6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), que se aplica desde hace años.</w:t>
      </w:r>
    </w:p>
    <w:p w14:paraId="750DDA07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2F7243C4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4D9E8E8B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56CF4A41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lastRenderedPageBreak/>
        <w:t>Por lo tanto, una empresa sabe, por lo general, de forma inmediata si está vinculada, en tanto que ya está sujeta a la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obligación de elaborar cuentas consolidadas en virtud de dicha Directiva o está incluida por 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consolidación en las cuentas de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una empresa obligada a elaborar cuentas consolidadas.</w:t>
      </w:r>
    </w:p>
    <w:p w14:paraId="69607EB2" w14:textId="77777777" w:rsidR="00025B5F" w:rsidRDefault="00025B5F" w:rsidP="00025B5F">
      <w:pPr>
        <w:pStyle w:val="Standard"/>
        <w:jc w:val="both"/>
        <w:rPr>
          <w:rFonts w:ascii="Arial Narrow" w:hAnsi="Arial Narrow" w:cs="Arial"/>
          <w:color w:val="868786"/>
          <w:sz w:val="20"/>
          <w:szCs w:val="20"/>
        </w:rPr>
      </w:pPr>
    </w:p>
    <w:p w14:paraId="35E95FC3" w14:textId="77777777" w:rsidR="00025B5F" w:rsidRPr="000806AC" w:rsidRDefault="00025B5F" w:rsidP="00025B5F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color w:val="0E0E0E"/>
          <w:sz w:val="20"/>
          <w:szCs w:val="20"/>
        </w:rPr>
      </w:pPr>
      <w:r w:rsidRPr="000806AC">
        <w:rPr>
          <w:rFonts w:ascii="Arial Narrow" w:hAnsi="Arial Narrow"/>
          <w:b/>
          <w:color w:val="0E0E0E"/>
          <w:sz w:val="20"/>
          <w:szCs w:val="20"/>
        </w:rPr>
        <w:t>LOS EFECTIVOS Y UNIDADES DE TRABAJO ANUAL (</w:t>
      </w:r>
      <w:r w:rsidRPr="000806AC">
        <w:rPr>
          <w:rFonts w:ascii="Arial Narrow" w:hAnsi="Arial Narrow"/>
          <w:b/>
          <w:color w:val="0E0E0E"/>
          <w:sz w:val="20"/>
          <w:szCs w:val="20"/>
          <w:vertAlign w:val="superscript"/>
        </w:rPr>
        <w:t>7</w:t>
      </w:r>
      <w:r w:rsidRPr="000806AC">
        <w:rPr>
          <w:rFonts w:ascii="Arial Narrow" w:hAnsi="Arial Narrow"/>
          <w:b/>
          <w:color w:val="0E0E0E"/>
          <w:sz w:val="20"/>
          <w:szCs w:val="20"/>
        </w:rPr>
        <w:t>)</w:t>
      </w:r>
    </w:p>
    <w:p w14:paraId="550B814C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14:paraId="356C290F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Los efectivos de una empresa corresponden al número de unidades de trabajo anual (UTA).</w:t>
      </w:r>
    </w:p>
    <w:p w14:paraId="1170063C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</w:p>
    <w:p w14:paraId="11ABE0D9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  <w:t>¿Quiénes se incluyen en los efectivos?</w:t>
      </w:r>
    </w:p>
    <w:p w14:paraId="09DDAF64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</w:p>
    <w:p w14:paraId="189E388B" w14:textId="77777777" w:rsidR="00025B5F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los asalariados de la empresa,</w:t>
      </w:r>
    </w:p>
    <w:p w14:paraId="08EBDC3B" w14:textId="77777777" w:rsidR="00025B5F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E0E0E"/>
          <w:sz w:val="20"/>
          <w:szCs w:val="20"/>
        </w:rPr>
      </w:pPr>
    </w:p>
    <w:p w14:paraId="5B6C6B98" w14:textId="77777777" w:rsidR="00025B5F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las personas que trabajan para la empresa que mantengan una relación de subordinación con la misma y estén asimiladas</w:t>
      </w:r>
      <w:r>
        <w:rPr>
          <w:rFonts w:ascii="Arial Narrow" w:hAnsi="Arial Narrow"/>
          <w:color w:val="0E0E0E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E0E0E"/>
          <w:sz w:val="20"/>
          <w:szCs w:val="20"/>
        </w:rPr>
        <w:t>a los asalariados con arreglo a la legislación nacional,</w:t>
      </w:r>
    </w:p>
    <w:p w14:paraId="69688DD8" w14:textId="77777777" w:rsidR="00025B5F" w:rsidRPr="000806AC" w:rsidRDefault="00025B5F" w:rsidP="00025B5F">
      <w:pPr>
        <w:pStyle w:val="Prrafodelista"/>
        <w:jc w:val="both"/>
        <w:rPr>
          <w:rFonts w:ascii="Arial Narrow" w:hAnsi="Arial Narrow"/>
          <w:color w:val="0E0E0E"/>
          <w:sz w:val="20"/>
          <w:szCs w:val="20"/>
        </w:rPr>
      </w:pPr>
    </w:p>
    <w:p w14:paraId="6B167953" w14:textId="77777777" w:rsidR="00025B5F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E0E0E"/>
          <w:sz w:val="20"/>
          <w:szCs w:val="20"/>
        </w:rPr>
      </w:pPr>
    </w:p>
    <w:p w14:paraId="58394788" w14:textId="77777777" w:rsidR="00025B5F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los propietarios que dirigen su empresa,</w:t>
      </w:r>
    </w:p>
    <w:p w14:paraId="287A1947" w14:textId="77777777" w:rsidR="00025B5F" w:rsidRPr="000806AC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E0E0E"/>
          <w:sz w:val="20"/>
          <w:szCs w:val="20"/>
        </w:rPr>
      </w:pPr>
    </w:p>
    <w:p w14:paraId="6F288FB5" w14:textId="77777777" w:rsidR="00025B5F" w:rsidRPr="000806AC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los socios que ejerzan una actividad regular en la empresa y disfruten de ventajas financieras por parte de la empresa.</w:t>
      </w:r>
    </w:p>
    <w:p w14:paraId="021E0792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14:paraId="55152668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Los aprendices o alumnos de formación profesional con contrato de aprendizaje o formación p</w:t>
      </w:r>
      <w:r>
        <w:rPr>
          <w:rFonts w:ascii="Arial Narrow" w:hAnsi="Arial Narrow" w:cs="Times New Roman"/>
          <w:color w:val="0E0E0E"/>
          <w:sz w:val="20"/>
          <w:szCs w:val="20"/>
          <w:lang w:bidi="ar-SA"/>
        </w:rPr>
        <w:t xml:space="preserve">rofesional no se contabilizarán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dentro de los efectivos.</w:t>
      </w:r>
    </w:p>
    <w:p w14:paraId="276F50BB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14:paraId="7478E475" w14:textId="77777777" w:rsidR="00025B5F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  <w:t>Modo de calcular los efectivos</w:t>
      </w:r>
    </w:p>
    <w:p w14:paraId="5CE14421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</w:p>
    <w:p w14:paraId="48FF87EB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 xml:space="preserve">Una UTA corresponde a una persona que haya trabajado en la empresa o por cuenta de </w:t>
      </w:r>
      <w:r w:rsidR="009B540C"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esta</w:t>
      </w:r>
      <w:r>
        <w:rPr>
          <w:rFonts w:ascii="Arial Narrow" w:hAnsi="Arial Narrow" w:cs="Times New Roman"/>
          <w:color w:val="0E0E0E"/>
          <w:sz w:val="20"/>
          <w:szCs w:val="20"/>
          <w:lang w:bidi="ar-SA"/>
        </w:rPr>
        <w:t xml:space="preserve"> a jornada completa durante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todo el año de que se trate</w:t>
      </w:r>
      <w:r w:rsidRPr="000806AC">
        <w:rPr>
          <w:rFonts w:ascii="Arial Narrow" w:hAnsi="Arial Narrow" w:cs="Times New Roman"/>
          <w:color w:val="3D3D3D"/>
          <w:sz w:val="20"/>
          <w:szCs w:val="20"/>
          <w:lang w:bidi="ar-SA"/>
        </w:rPr>
        <w:t xml:space="preserve">.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Los efectivos se contabilizan en UTA.</w:t>
      </w:r>
    </w:p>
    <w:p w14:paraId="0E0E2BB9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14:paraId="50B01A85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El trabajo de las personas que no hayan trabajado todo el año o lo hayan hecho a tiempo parcial</w:t>
      </w:r>
      <w:r w:rsidRPr="000806AC">
        <w:rPr>
          <w:rFonts w:ascii="Arial Narrow" w:hAnsi="Arial Narrow" w:cs="Times New Roman"/>
          <w:color w:val="2D2D2D"/>
          <w:sz w:val="20"/>
          <w:szCs w:val="20"/>
          <w:lang w:bidi="ar-SA"/>
        </w:rPr>
        <w:t xml:space="preserve">,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independientemente de su</w:t>
      </w:r>
    </w:p>
    <w:p w14:paraId="0EF630A5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duración, así como el trabajo estacional, se contabiliza en fracciones de UTA.</w:t>
      </w:r>
    </w:p>
    <w:p w14:paraId="15B4D2A1" w14:textId="77777777" w:rsidR="00025B5F" w:rsidRDefault="00025B5F" w:rsidP="00025B5F">
      <w:pPr>
        <w:pStyle w:val="Standard"/>
        <w:jc w:val="both"/>
        <w:rPr>
          <w:rFonts w:ascii="Arial Narrow" w:hAnsi="Arial Narrow"/>
          <w:color w:val="0E0E0E"/>
          <w:sz w:val="20"/>
          <w:szCs w:val="20"/>
        </w:rPr>
      </w:pPr>
    </w:p>
    <w:p w14:paraId="5501362A" w14:textId="77777777" w:rsidR="00025B5F" w:rsidRDefault="00025B5F" w:rsidP="00025B5F">
      <w:pPr>
        <w:pStyle w:val="Standard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No se contabiliza la duración de los permisos de maternidad o permisos parentales.</w:t>
      </w:r>
    </w:p>
    <w:p w14:paraId="2A87D4A2" w14:textId="77777777" w:rsidR="00025B5F" w:rsidRDefault="00025B5F" w:rsidP="00025B5F">
      <w:pPr>
        <w:pStyle w:val="Standard"/>
        <w:jc w:val="both"/>
        <w:rPr>
          <w:rFonts w:ascii="Arial Narrow" w:hAnsi="Arial Narrow"/>
          <w:color w:val="0E0E0E"/>
          <w:sz w:val="20"/>
          <w:szCs w:val="20"/>
        </w:rPr>
      </w:pPr>
    </w:p>
    <w:p w14:paraId="37F5097E" w14:textId="77777777"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(1)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En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el presente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texto,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el término definición se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refiere al anexo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Recomendaci￳n"/>
        </w:smartTagPr>
        <w:r w:rsidRPr="004D2441">
          <w:rPr>
            <w:rFonts w:ascii="Arial Narrow" w:hAnsi="Arial Narrow"/>
            <w:bCs/>
            <w:sz w:val="16"/>
            <w:szCs w:val="16"/>
            <w:lang w:val="es-ES_tradnl"/>
          </w:rPr>
          <w:t>la Recomendación</w:t>
        </w:r>
      </w:smartTag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2003/ 361/CE de </w:t>
      </w:r>
      <w:smartTag w:uri="urn:schemas-microsoft-com:office:smarttags" w:element="PersonName">
        <w:smartTagPr>
          <w:attr w:name="ProductID" w:val="la Comisi￳n"/>
        </w:smartTagPr>
        <w:r w:rsidRPr="004D2441">
          <w:rPr>
            <w:rFonts w:ascii="Arial Narrow" w:hAnsi="Arial Narrow"/>
            <w:sz w:val="16"/>
            <w:szCs w:val="16"/>
            <w:lang w:val="es-ES_tradnl"/>
          </w:rPr>
          <w:t>la Comisión</w:t>
        </w:r>
      </w:smartTag>
      <w:r w:rsidRPr="004D2441">
        <w:rPr>
          <w:rFonts w:ascii="Arial Narrow" w:hAnsi="Arial Narrow"/>
          <w:sz w:val="16"/>
          <w:szCs w:val="16"/>
          <w:lang w:val="es-ES_tradnl"/>
        </w:rPr>
        <w:t xml:space="preserve">, sobre a definición de pequeñas y medianas empresas. </w:t>
      </w:r>
    </w:p>
    <w:p w14:paraId="4E79FAEB" w14:textId="77777777"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iCs/>
          <w:sz w:val="16"/>
          <w:szCs w:val="16"/>
          <w:lang w:val="es-ES_tradnl"/>
        </w:rPr>
        <w:t>(2)</w:t>
      </w:r>
      <w:r w:rsidRPr="004D2441">
        <w:rPr>
          <w:rFonts w:ascii="Arial Narrow" w:hAnsi="Arial Narrow"/>
          <w:bCs/>
          <w:i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Artículo 3 de la deflnici6n. </w:t>
      </w:r>
    </w:p>
    <w:p w14:paraId="389BE289" w14:textId="77777777"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(3)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En términos de participación de capital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o derechos de voto, se tendrá en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cuenta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mayor de los dos porcentajes. A dicho porcentaje se añadirá el porcentaje de participación que cualquier otra empresa vinculada a la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empresa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accionista posea sobre la empresa en cuestión (apartado 2 del artículo 3 de la definición). </w:t>
      </w:r>
    </w:p>
    <w:p w14:paraId="4F4E8174" w14:textId="77777777"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(4)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Una empresa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puede seguir siendo considerada autónoma, aunque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se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alcance o se supere este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límite del 25 % cuando corresponda a alguno de los tipos de inversores que se indican a continuación (siempre que los inversores no sean empresas vinculadas a la empresa solicitante): </w:t>
      </w:r>
    </w:p>
    <w:p w14:paraId="11C91742" w14:textId="77777777" w:rsidR="00025B5F" w:rsidRPr="004D2441" w:rsidRDefault="00025B5F" w:rsidP="00025B5F">
      <w:pPr>
        <w:pStyle w:val="NormalWeb"/>
        <w:tabs>
          <w:tab w:val="left" w:pos="748"/>
        </w:tabs>
        <w:spacing w:before="0" w:beforeAutospacing="0" w:after="0" w:afterAutospacing="0"/>
        <w:ind w:left="748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a)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sociedades públicas de participación, sociedades de capital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riesgo, personas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físicas o grupos de personas físicas que realicen una actividad regular de inversión en capital riesgo (inversores providenciales o </w:t>
      </w:r>
      <w:r w:rsidRPr="004D2441">
        <w:rPr>
          <w:rFonts w:ascii="Arial Narrow" w:hAnsi="Arial Narrow"/>
          <w:i/>
          <w:sz w:val="16"/>
          <w:szCs w:val="16"/>
          <w:lang w:val="es-ES_tradnl"/>
        </w:rPr>
        <w:t xml:space="preserve">business </w:t>
      </w:r>
      <w:r w:rsidR="009B540C" w:rsidRPr="004D2441">
        <w:rPr>
          <w:rFonts w:ascii="Arial Narrow" w:hAnsi="Arial Narrow"/>
          <w:i/>
          <w:sz w:val="16"/>
          <w:szCs w:val="16"/>
          <w:lang w:val="es-ES_tradnl"/>
        </w:rPr>
        <w:t>Àngels</w:t>
      </w:r>
      <w:r w:rsidRPr="004D2441">
        <w:rPr>
          <w:rFonts w:ascii="Arial Narrow" w:hAnsi="Arial Narrow"/>
          <w:bCs/>
          <w:i/>
          <w:iCs/>
          <w:sz w:val="16"/>
          <w:szCs w:val="16"/>
          <w:lang w:val="es-ES_tradnl"/>
        </w:rPr>
        <w:t xml:space="preserve">)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inviertan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fondos propios en empresas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sin cotización bursátil, siempre y cuando la inversión de dichos </w:t>
      </w:r>
      <w:r w:rsidRPr="004D2441">
        <w:rPr>
          <w:rFonts w:ascii="Arial Narrow" w:hAnsi="Arial Narrow"/>
          <w:i/>
          <w:iCs/>
          <w:sz w:val="16"/>
          <w:szCs w:val="16"/>
          <w:lang w:val="es-ES_tradnl"/>
        </w:rPr>
        <w:t xml:space="preserve">business </w:t>
      </w:r>
      <w:r w:rsidR="009B540C" w:rsidRPr="004D2441">
        <w:rPr>
          <w:rFonts w:ascii="Arial Narrow" w:hAnsi="Arial Narrow"/>
          <w:i/>
          <w:iCs/>
          <w:sz w:val="16"/>
          <w:szCs w:val="16"/>
          <w:lang w:val="es-ES_tradnl"/>
        </w:rPr>
        <w:t>Àngels</w:t>
      </w:r>
      <w:r w:rsidRPr="004D2441">
        <w:rPr>
          <w:rFonts w:ascii="Arial Narrow" w:hAnsi="Arial Narrow"/>
          <w:i/>
          <w:iCs/>
          <w:sz w:val="16"/>
          <w:szCs w:val="16"/>
          <w:lang w:val="es-ES_tradnl"/>
        </w:rPr>
        <w:t xml:space="preserve">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en la misma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empresa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no supere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1 250 000 euros; </w:t>
      </w:r>
    </w:p>
    <w:p w14:paraId="6A8E09D4" w14:textId="77777777" w:rsidR="00025B5F" w:rsidRPr="004D2441" w:rsidRDefault="00025B5F" w:rsidP="00025B5F">
      <w:pPr>
        <w:pStyle w:val="NormalWeb"/>
        <w:spacing w:before="0" w:beforeAutospacing="0" w:after="0" w:afterAutospacing="0"/>
        <w:ind w:left="748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>b)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universidades o centros de investigación sin fines lucrativos; </w:t>
      </w:r>
    </w:p>
    <w:p w14:paraId="661BF576" w14:textId="77777777" w:rsidR="00025B5F" w:rsidRPr="004D2441" w:rsidRDefault="00025B5F" w:rsidP="00025B5F">
      <w:pPr>
        <w:pStyle w:val="NormalWeb"/>
        <w:spacing w:before="0" w:beforeAutospacing="0" w:after="0" w:afterAutospacing="0"/>
        <w:ind w:left="748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>c)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inversores institucionales, incluidos los fondos de desarrollo regional. </w:t>
      </w:r>
    </w:p>
    <w:p w14:paraId="59A49BD6" w14:textId="77777777" w:rsidR="00025B5F" w:rsidRPr="004D2441" w:rsidRDefault="00025B5F" w:rsidP="00025B5F">
      <w:pPr>
        <w:pStyle w:val="NormalWeb"/>
        <w:spacing w:before="0" w:beforeAutospacing="0" w:after="0" w:afterAutospacing="0"/>
        <w:ind w:left="748" w:hanging="40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(Segundo párrafo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del apartado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2 del artículo 3 de la definición). </w:t>
      </w:r>
    </w:p>
    <w:p w14:paraId="1AFB5722" w14:textId="77777777" w:rsidR="00025B5F" w:rsidRPr="004D2441" w:rsidRDefault="00025B5F" w:rsidP="00025B5F">
      <w:pPr>
        <w:pStyle w:val="NormalWeb"/>
        <w:tabs>
          <w:tab w:val="left" w:pos="187"/>
          <w:tab w:val="left" w:pos="561"/>
        </w:tabs>
        <w:spacing w:before="0" w:beforeAutospacing="0" w:after="0" w:afterAutospacing="0"/>
        <w:ind w:left="561" w:hanging="561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(5) </w:t>
      </w:r>
      <w:r w:rsidRPr="004D2441">
        <w:rPr>
          <w:rFonts w:ascii="Arial Narrow" w:hAnsi="Arial Narrow"/>
          <w:sz w:val="16"/>
          <w:szCs w:val="16"/>
          <w:lang w:val="es-ES_tradnl"/>
        </w:rPr>
        <w:t>—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Si el domicilio social de la empresa está ubicado en un Estado miembro que ha previsto una excepción a la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obligación de elaborar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dichas cuentas con arreglo a la séptima Directiva </w:t>
      </w:r>
      <w:r w:rsidRPr="004D2441">
        <w:rPr>
          <w:rFonts w:ascii="Arial Narrow" w:hAnsi="Arial Narrow"/>
          <w:i/>
          <w:iCs/>
          <w:sz w:val="16"/>
          <w:szCs w:val="16"/>
          <w:lang w:val="es-ES_tradnl"/>
        </w:rPr>
        <w:t xml:space="preserve">831349/CEE,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la empresa debe verificar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específicamente que no cumple ninguna de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las condiciones establecidas en el apartado 3 del artículo 3 de la definición. </w:t>
      </w:r>
    </w:p>
    <w:p w14:paraId="374A6687" w14:textId="77777777" w:rsidR="00025B5F" w:rsidRPr="004D2441" w:rsidRDefault="00025B5F" w:rsidP="00025B5F">
      <w:pPr>
        <w:pStyle w:val="NormalWeb"/>
        <w:tabs>
          <w:tab w:val="left" w:pos="561"/>
        </w:tabs>
        <w:spacing w:before="0" w:beforeAutospacing="0" w:after="0" w:afterAutospacing="0"/>
        <w:ind w:left="561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— 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En algunos casos poco frecuentes, una empresa puede estar vinculada a otra a través de una persona 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un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grupo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personas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físicas que actúen de común acuerdo (apartado 3 del artículo 3 de la definición). </w:t>
      </w:r>
    </w:p>
    <w:p w14:paraId="3C4C2535" w14:textId="77777777" w:rsidR="00025B5F" w:rsidRPr="004D2441" w:rsidRDefault="00025B5F" w:rsidP="00025B5F">
      <w:pPr>
        <w:pStyle w:val="NormalWeb"/>
        <w:numPr>
          <w:ilvl w:val="0"/>
          <w:numId w:val="13"/>
        </w:numPr>
        <w:tabs>
          <w:tab w:val="left" w:pos="187"/>
        </w:tabs>
        <w:spacing w:before="0" w:beforeAutospacing="0" w:after="0" w:afterAutospacing="0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A la inversa, puede darse el caso, muy poco habitual, de que una empresa elabore voluntariamente cuentas consolidadas sin estar sujeta a ello según la séptima Directiva. En este caso hipotético, la empresa no está necesariamente vinculada, y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puede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considerarse sólo asociada. </w:t>
      </w:r>
    </w:p>
    <w:p w14:paraId="503C25C3" w14:textId="77777777" w:rsidR="00025B5F" w:rsidRPr="004D2441" w:rsidRDefault="00025B5F" w:rsidP="00025B5F">
      <w:pPr>
        <w:pStyle w:val="NormalWeb"/>
        <w:tabs>
          <w:tab w:val="left" w:pos="187"/>
          <w:tab w:val="left" w:pos="561"/>
        </w:tabs>
        <w:spacing w:before="0" w:beforeAutospacing="0" w:after="0" w:afterAutospacing="0"/>
        <w:ind w:left="374"/>
        <w:jc w:val="both"/>
        <w:rPr>
          <w:rFonts w:ascii="Arial Narrow" w:hAnsi="Arial Narrow"/>
          <w:bCs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Para determinar si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una empresa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está vinculada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o no, debe verificarse,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para cada una de las tres situaciones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mencionadas, si cumple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alguna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las condiciones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establecidas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en 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apartado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3 del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artículo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3 de la definición, en su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caso a través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una persona o grupo de personas físicas que actúen de común acuerdo. </w:t>
      </w:r>
    </w:p>
    <w:p w14:paraId="2E819CEE" w14:textId="77777777"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(6)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  <w:t xml:space="preserve">DO L 193 de 18.7.1983, p. 1,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cuya última modificación la constituye </w:t>
      </w:r>
      <w:smartTag w:uri="urn:schemas-microsoft-com:office:smarttags" w:element="PersonName">
        <w:smartTagPr>
          <w:attr w:name="ProductID" w:val="la Directiva"/>
        </w:smartTagPr>
        <w:r w:rsidRPr="004D2441">
          <w:rPr>
            <w:rFonts w:ascii="Arial Narrow" w:hAnsi="Arial Narrow"/>
            <w:sz w:val="16"/>
            <w:szCs w:val="16"/>
            <w:lang w:val="es-ES_tradnl"/>
          </w:rPr>
          <w:t>la Directiva</w:t>
        </w:r>
      </w:smartTag>
      <w:r w:rsidRPr="004D2441">
        <w:rPr>
          <w:rFonts w:ascii="Arial Narrow" w:hAnsi="Arial Narrow"/>
          <w:sz w:val="16"/>
          <w:szCs w:val="16"/>
          <w:lang w:val="es-ES_tradnl"/>
        </w:rPr>
        <w:t xml:space="preserve">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2001(65/CE del Parlamento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Europeo y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Consejo (DO L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283 de 27.10.2001,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p. 28). </w:t>
      </w:r>
    </w:p>
    <w:p w14:paraId="3D6E304D" w14:textId="77777777" w:rsidR="00D2219B" w:rsidRPr="007667C4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(7)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  <w:t xml:space="preserve">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Artículo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5 de la definición. </w:t>
      </w:r>
    </w:p>
    <w:sectPr w:rsidR="00D2219B" w:rsidRPr="007667C4" w:rsidSect="00025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418" w:bottom="1701" w:left="1418" w:header="397" w:footer="73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34544" w14:textId="77777777" w:rsidR="008D0114" w:rsidRDefault="008D0114">
      <w:r>
        <w:separator/>
      </w:r>
    </w:p>
  </w:endnote>
  <w:endnote w:type="continuationSeparator" w:id="0">
    <w:p w14:paraId="62D53E38" w14:textId="77777777" w:rsidR="008D0114" w:rsidRDefault="008D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FE6F" w14:textId="77777777" w:rsidR="007112F2" w:rsidRDefault="007112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BA6D" w14:textId="263A8D9D" w:rsidR="009E01BB" w:rsidRPr="00477E16" w:rsidRDefault="0062035B" w:rsidP="00477E16">
    <w:pPr>
      <w:pStyle w:val="Piedepgina"/>
      <w:tabs>
        <w:tab w:val="clear" w:pos="8500"/>
        <w:tab w:val="center" w:pos="4535"/>
        <w:tab w:val="left" w:pos="7455"/>
      </w:tabs>
      <w:rPr>
        <w:rFonts w:ascii="Arial Narrow" w:hAnsi="Arial Narrow"/>
        <w:sz w:val="22"/>
        <w:szCs w:val="22"/>
      </w:rPr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EE8F824" wp14:editId="4DF01605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1267460" cy="528320"/>
          <wp:effectExtent l="0" t="0" r="8890" b="5080"/>
          <wp:wrapThrough wrapText="bothSides">
            <wp:wrapPolygon edited="0">
              <wp:start x="0" y="0"/>
              <wp:lineTo x="0" y="21029"/>
              <wp:lineTo x="21427" y="21029"/>
              <wp:lineTo x="21427" y="0"/>
              <wp:lineTo x="0" y="0"/>
            </wp:wrapPolygon>
          </wp:wrapThrough>
          <wp:docPr id="17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46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19DEB73A" wp14:editId="1B529C77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174240" cy="391795"/>
          <wp:effectExtent l="0" t="0" r="0" b="8255"/>
          <wp:wrapThrough wrapText="bothSides">
            <wp:wrapPolygon edited="0">
              <wp:start x="0" y="0"/>
              <wp:lineTo x="0" y="21005"/>
              <wp:lineTo x="21386" y="21005"/>
              <wp:lineTo x="21386" y="0"/>
              <wp:lineTo x="0" y="0"/>
            </wp:wrapPolygon>
          </wp:wrapThrough>
          <wp:docPr id="18" name="gráfico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24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1BB">
      <w:tab/>
    </w:r>
    <w:sdt>
      <w:sdtPr>
        <w:rPr>
          <w:rFonts w:ascii="Arial Narrow" w:hAnsi="Arial Narrow"/>
          <w:sz w:val="22"/>
          <w:szCs w:val="22"/>
        </w:rPr>
        <w:id w:val="-920798443"/>
        <w:docPartObj>
          <w:docPartGallery w:val="Page Numbers (Bottom of Page)"/>
          <w:docPartUnique/>
        </w:docPartObj>
      </w:sdtPr>
      <w:sdtEndPr/>
      <w:sdtContent>
        <w:r w:rsidR="009E01BB" w:rsidRPr="00477E16">
          <w:rPr>
            <w:rFonts w:ascii="Arial Narrow" w:hAnsi="Arial Narrow"/>
            <w:sz w:val="22"/>
            <w:szCs w:val="22"/>
          </w:rPr>
          <w:fldChar w:fldCharType="begin"/>
        </w:r>
        <w:r w:rsidR="009E01BB" w:rsidRPr="00477E16">
          <w:rPr>
            <w:rFonts w:ascii="Arial Narrow" w:hAnsi="Arial Narrow"/>
            <w:sz w:val="22"/>
            <w:szCs w:val="22"/>
          </w:rPr>
          <w:instrText>PAGE   \* MERGEFORMAT</w:instrText>
        </w:r>
        <w:r w:rsidR="009E01BB" w:rsidRPr="00477E16">
          <w:rPr>
            <w:rFonts w:ascii="Arial Narrow" w:hAnsi="Arial Narrow"/>
            <w:sz w:val="22"/>
            <w:szCs w:val="22"/>
          </w:rPr>
          <w:fldChar w:fldCharType="separate"/>
        </w:r>
        <w:r w:rsidR="007112F2">
          <w:rPr>
            <w:rFonts w:ascii="Arial Narrow" w:hAnsi="Arial Narrow"/>
            <w:noProof/>
            <w:sz w:val="22"/>
            <w:szCs w:val="22"/>
          </w:rPr>
          <w:t>2</w:t>
        </w:r>
        <w:r w:rsidR="009E01BB" w:rsidRPr="00477E16">
          <w:rPr>
            <w:rFonts w:ascii="Arial Narrow" w:hAnsi="Arial Narrow"/>
            <w:sz w:val="22"/>
            <w:szCs w:val="22"/>
          </w:rPr>
          <w:fldChar w:fldCharType="end"/>
        </w:r>
      </w:sdtContent>
    </w:sdt>
    <w:r w:rsidR="009E01BB" w:rsidRPr="00477E16">
      <w:rPr>
        <w:rFonts w:ascii="Arial Narrow" w:hAnsi="Arial Narrow"/>
        <w:sz w:val="22"/>
        <w:szCs w:val="22"/>
      </w:rPr>
      <w:tab/>
    </w:r>
    <w:r w:rsidR="009E01BB">
      <w:rPr>
        <w:rFonts w:ascii="Arial Narrow" w:hAnsi="Arial Narrow"/>
        <w:sz w:val="22"/>
        <w:szCs w:val="22"/>
      </w:rPr>
      <w:tab/>
    </w:r>
  </w:p>
  <w:p w14:paraId="70F9D9A3" w14:textId="3BF8CFB8" w:rsidR="009E01BB" w:rsidRDefault="009E01BB" w:rsidP="00BC12BB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6E853" w14:textId="77777777" w:rsidR="007112F2" w:rsidRDefault="007112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149C2" w14:textId="77777777" w:rsidR="008D0114" w:rsidRDefault="008D0114">
      <w:r>
        <w:separator/>
      </w:r>
    </w:p>
  </w:footnote>
  <w:footnote w:type="continuationSeparator" w:id="0">
    <w:p w14:paraId="63D2570E" w14:textId="77777777" w:rsidR="008D0114" w:rsidRDefault="008D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AF0E2" w14:textId="77777777" w:rsidR="007112F2" w:rsidRDefault="007112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2B57A" w14:textId="2B2929E8" w:rsidR="009E01BB" w:rsidRDefault="0062035B" w:rsidP="00501F26">
    <w:pPr>
      <w:pStyle w:val="Encabezado"/>
    </w:pPr>
    <w:r w:rsidRPr="006B4E3C">
      <w:rPr>
        <w:rFonts w:ascii="Arial Narrow" w:eastAsia="SimSun" w:hAnsi="Arial Narrow" w:cs="Lucida Sans"/>
        <w:noProof/>
        <w:color w:val="00000A"/>
        <w:lang w:eastAsia="es-ES"/>
      </w:rPr>
      <w:drawing>
        <wp:anchor distT="0" distB="0" distL="114300" distR="114300" simplePos="0" relativeHeight="251663360" behindDoc="0" locked="0" layoutInCell="1" allowOverlap="1" wp14:anchorId="6539806C" wp14:editId="7C82AB76">
          <wp:simplePos x="0" y="0"/>
          <wp:positionH relativeFrom="margin">
            <wp:align>left</wp:align>
          </wp:positionH>
          <wp:positionV relativeFrom="paragraph">
            <wp:posOffset>157480</wp:posOffset>
          </wp:positionV>
          <wp:extent cx="2586990" cy="720725"/>
          <wp:effectExtent l="0" t="0" r="3810" b="0"/>
          <wp:wrapThrough wrapText="bothSides">
            <wp:wrapPolygon edited="0">
              <wp:start x="318" y="0"/>
              <wp:lineTo x="0" y="1713"/>
              <wp:lineTo x="0" y="13131"/>
              <wp:lineTo x="9225" y="18270"/>
              <wp:lineTo x="9225" y="19982"/>
              <wp:lineTo x="16224" y="19982"/>
              <wp:lineTo x="16224" y="18270"/>
              <wp:lineTo x="21473" y="14844"/>
              <wp:lineTo x="21473" y="11419"/>
              <wp:lineTo x="17496" y="9135"/>
              <wp:lineTo x="17973" y="5709"/>
              <wp:lineTo x="16542" y="4567"/>
              <wp:lineTo x="1432" y="0"/>
              <wp:lineTo x="318" y="0"/>
            </wp:wrapPolygon>
          </wp:wrapThrough>
          <wp:docPr id="2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184"/>
                  <a:stretch>
                    <a:fillRect/>
                  </a:stretch>
                </pic:blipFill>
                <pic:spPr bwMode="auto">
                  <a:xfrm>
                    <a:off x="0" y="0"/>
                    <a:ext cx="258699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B5F" w:rsidRPr="00BC12BB">
      <w:rPr>
        <w:noProof/>
        <w:lang w:eastAsia="es-ES"/>
      </w:rPr>
      <w:drawing>
        <wp:anchor distT="0" distB="0" distL="114300" distR="122555" simplePos="0" relativeHeight="251660288" behindDoc="0" locked="0" layoutInCell="1" allowOverlap="1" wp14:anchorId="251504AE" wp14:editId="3F19BD69">
          <wp:simplePos x="0" y="0"/>
          <wp:positionH relativeFrom="margin">
            <wp:align>right</wp:align>
          </wp:positionH>
          <wp:positionV relativeFrom="paragraph">
            <wp:posOffset>217140</wp:posOffset>
          </wp:positionV>
          <wp:extent cx="756000" cy="648000"/>
          <wp:effectExtent l="0" t="0" r="6350" b="0"/>
          <wp:wrapNone/>
          <wp:docPr id="13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460EB" w14:textId="77777777" w:rsidR="007112F2" w:rsidRDefault="007112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2A1"/>
    <w:multiLevelType w:val="hybridMultilevel"/>
    <w:tmpl w:val="2A905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13F7"/>
    <w:multiLevelType w:val="hybridMultilevel"/>
    <w:tmpl w:val="518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67F4"/>
    <w:multiLevelType w:val="multilevel"/>
    <w:tmpl w:val="8AA6A4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7C6756"/>
    <w:multiLevelType w:val="hybridMultilevel"/>
    <w:tmpl w:val="2026BB56"/>
    <w:lvl w:ilvl="0" w:tplc="80165666">
      <w:start w:val="2"/>
      <w:numFmt w:val="bullet"/>
      <w:lvlText w:val="—"/>
      <w:lvlJc w:val="left"/>
      <w:pPr>
        <w:tabs>
          <w:tab w:val="num" w:pos="547"/>
        </w:tabs>
        <w:ind w:left="547" w:hanging="360"/>
      </w:pPr>
      <w:rPr>
        <w:rFonts w:ascii="Helvetica, sans-serif" w:eastAsia="Times New Roman" w:hAnsi="Helvetica, sans-serif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4" w15:restartNumberingAfterBreak="0">
    <w:nsid w:val="350136D2"/>
    <w:multiLevelType w:val="multilevel"/>
    <w:tmpl w:val="8AF2F29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/>
        <w:sz w:val="22"/>
        <w:szCs w:val="22"/>
      </w:rPr>
    </w:lvl>
  </w:abstractNum>
  <w:abstractNum w:abstractNumId="5" w15:restartNumberingAfterBreak="0">
    <w:nsid w:val="39DA1CA1"/>
    <w:multiLevelType w:val="hybridMultilevel"/>
    <w:tmpl w:val="D4F8D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464D"/>
    <w:multiLevelType w:val="hybridMultilevel"/>
    <w:tmpl w:val="56CADD5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8305762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32A64"/>
    <w:multiLevelType w:val="hybridMultilevel"/>
    <w:tmpl w:val="FE40A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720AA"/>
    <w:multiLevelType w:val="hybridMultilevel"/>
    <w:tmpl w:val="B4E8B9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174F5C"/>
    <w:multiLevelType w:val="multilevel"/>
    <w:tmpl w:val="9D148118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/>
        <w:sz w:val="22"/>
        <w:szCs w:val="22"/>
      </w:rPr>
    </w:lvl>
  </w:abstractNum>
  <w:abstractNum w:abstractNumId="10" w15:restartNumberingAfterBreak="0">
    <w:nsid w:val="715F2790"/>
    <w:multiLevelType w:val="hybridMultilevel"/>
    <w:tmpl w:val="F5D478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7194C"/>
    <w:multiLevelType w:val="hybridMultilevel"/>
    <w:tmpl w:val="C97C4B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86E78"/>
    <w:multiLevelType w:val="hybridMultilevel"/>
    <w:tmpl w:val="527E20C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64778"/>
    <w:multiLevelType w:val="multilevel"/>
    <w:tmpl w:val="00504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8F6678"/>
    <w:multiLevelType w:val="multilevel"/>
    <w:tmpl w:val="A1885240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Arial Narrow" w:hAnsi="Arial Narrow"/>
        <w:sz w:val="22"/>
        <w:szCs w:val="22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Arial Narrow" w:hAnsi="Arial Narrow"/>
        <w:sz w:val="22"/>
        <w:szCs w:val="22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Arial Narrow" w:hAnsi="Arial Narrow"/>
        <w:sz w:val="22"/>
        <w:szCs w:val="22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Arial Narrow" w:hAnsi="Arial Narrow"/>
        <w:sz w:val="22"/>
        <w:szCs w:val="22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Arial Narrow" w:hAnsi="Arial Narrow"/>
        <w:sz w:val="22"/>
        <w:szCs w:val="22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hAnsi="Arial Narrow"/>
        <w:sz w:val="22"/>
        <w:szCs w:val="22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Arial Narrow" w:hAnsi="Arial Narrow"/>
        <w:sz w:val="22"/>
        <w:szCs w:val="22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Arial Narrow" w:hAnsi="Arial Narrow"/>
        <w:sz w:val="22"/>
        <w:szCs w:val="22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5"/>
    <w:rsid w:val="000067FC"/>
    <w:rsid w:val="00025B5F"/>
    <w:rsid w:val="000806AC"/>
    <w:rsid w:val="000D3293"/>
    <w:rsid w:val="00166DFF"/>
    <w:rsid w:val="001853DF"/>
    <w:rsid w:val="00232B41"/>
    <w:rsid w:val="002A3702"/>
    <w:rsid w:val="002D1081"/>
    <w:rsid w:val="00321CEE"/>
    <w:rsid w:val="00386EB5"/>
    <w:rsid w:val="00430FBA"/>
    <w:rsid w:val="00436F89"/>
    <w:rsid w:val="00477E16"/>
    <w:rsid w:val="004D0309"/>
    <w:rsid w:val="004D2441"/>
    <w:rsid w:val="00501F26"/>
    <w:rsid w:val="005704D2"/>
    <w:rsid w:val="005C1F5D"/>
    <w:rsid w:val="005F1F35"/>
    <w:rsid w:val="00616354"/>
    <w:rsid w:val="0062035B"/>
    <w:rsid w:val="00633510"/>
    <w:rsid w:val="00641DAC"/>
    <w:rsid w:val="0068048C"/>
    <w:rsid w:val="006D3494"/>
    <w:rsid w:val="006D4916"/>
    <w:rsid w:val="007112F2"/>
    <w:rsid w:val="007667C4"/>
    <w:rsid w:val="00814853"/>
    <w:rsid w:val="00841F85"/>
    <w:rsid w:val="008D0114"/>
    <w:rsid w:val="00933BE3"/>
    <w:rsid w:val="009538F6"/>
    <w:rsid w:val="009603F3"/>
    <w:rsid w:val="00971043"/>
    <w:rsid w:val="009B540C"/>
    <w:rsid w:val="009C02ED"/>
    <w:rsid w:val="009E01BB"/>
    <w:rsid w:val="009F0FEB"/>
    <w:rsid w:val="00A57CE1"/>
    <w:rsid w:val="00AB627A"/>
    <w:rsid w:val="00AC70E0"/>
    <w:rsid w:val="00AD46E9"/>
    <w:rsid w:val="00BC12BB"/>
    <w:rsid w:val="00BC2C4F"/>
    <w:rsid w:val="00C26654"/>
    <w:rsid w:val="00C85C66"/>
    <w:rsid w:val="00CB29F1"/>
    <w:rsid w:val="00CB4CEE"/>
    <w:rsid w:val="00D2219B"/>
    <w:rsid w:val="00D63A9D"/>
    <w:rsid w:val="00D714FE"/>
    <w:rsid w:val="00D75021"/>
    <w:rsid w:val="00D94E5B"/>
    <w:rsid w:val="00E33C5F"/>
    <w:rsid w:val="00E3698B"/>
    <w:rsid w:val="00E61857"/>
    <w:rsid w:val="00E84C3A"/>
    <w:rsid w:val="00EC7B14"/>
    <w:rsid w:val="00ED68B7"/>
    <w:rsid w:val="00EF6C4D"/>
    <w:rsid w:val="00F6037E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AA3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8">
    <w:name w:val="heading 8"/>
    <w:qFormat/>
    <w:pPr>
      <w:keepNext/>
      <w:widowControl w:val="0"/>
      <w:jc w:val="both"/>
      <w:outlineLvl w:val="7"/>
    </w:pPr>
    <w:rPr>
      <w:rFonts w:ascii="Arial" w:hAnsi="Arial" w:cs="Arial"/>
      <w:i/>
      <w:sz w:val="16"/>
      <w:szCs w:val="20"/>
    </w:rPr>
  </w:style>
  <w:style w:type="paragraph" w:styleId="Ttulo9">
    <w:name w:val="heading 9"/>
    <w:qFormat/>
    <w:pPr>
      <w:keepNext/>
      <w:widowControl w:val="0"/>
      <w:outlineLvl w:val="8"/>
    </w:pPr>
    <w:rPr>
      <w:rFonts w:ascii="Arial" w:hAnsi="Arial" w:cs="Arial"/>
      <w:i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qFormat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cs="Arial"/>
      <w:szCs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Encabezado1">
    <w:name w:val="Encabezado1"/>
    <w:basedOn w:val="Standard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Encabezado">
    <w:name w:val="header"/>
    <w:basedOn w:val="Standard"/>
    <w:link w:val="EncabezadoCar"/>
    <w:uiPriority w:val="99"/>
    <w:pPr>
      <w:tabs>
        <w:tab w:val="center" w:pos="4240"/>
        <w:tab w:val="right" w:pos="8500"/>
      </w:tabs>
    </w:pPr>
  </w:style>
  <w:style w:type="paragraph" w:styleId="Piedepgina">
    <w:name w:val="footer"/>
    <w:basedOn w:val="Standard"/>
    <w:link w:val="PiedepginaCar"/>
    <w:uiPriority w:val="99"/>
    <w:pPr>
      <w:tabs>
        <w:tab w:val="center" w:pos="4240"/>
        <w:tab w:val="right" w:pos="8500"/>
      </w:tabs>
    </w:pPr>
  </w:style>
  <w:style w:type="paragraph" w:styleId="Textoindependiente3">
    <w:name w:val="Body Text 3"/>
    <w:basedOn w:val="Standard"/>
    <w:qFormat/>
    <w:pPr>
      <w:jc w:val="both"/>
    </w:pPr>
    <w:rPr>
      <w:rFonts w:ascii="Arial" w:hAnsi="Arial" w:cs="Arial"/>
      <w:sz w:val="18"/>
      <w:szCs w:val="20"/>
    </w:rPr>
  </w:style>
  <w:style w:type="paragraph" w:customStyle="1" w:styleId="Footnote">
    <w:name w:val="Footnote"/>
    <w:basedOn w:val="Standard"/>
    <w:qFormat/>
    <w:rPr>
      <w:sz w:val="20"/>
      <w:szCs w:val="20"/>
    </w:rPr>
  </w:style>
  <w:style w:type="paragraph" w:styleId="Puesto">
    <w:name w:val="Title"/>
    <w:basedOn w:val="Standard"/>
    <w:qFormat/>
    <w:pPr>
      <w:jc w:val="center"/>
    </w:pPr>
    <w:rPr>
      <w:b/>
      <w:sz w:val="20"/>
      <w:szCs w:val="20"/>
    </w:rPr>
  </w:style>
  <w:style w:type="paragraph" w:styleId="Subttulo">
    <w:name w:val="Subtitle"/>
    <w:basedOn w:val="Encabezado1"/>
    <w:qFormat/>
    <w:pPr>
      <w:jc w:val="center"/>
    </w:pPr>
    <w:rPr>
      <w:i/>
      <w:iCs/>
    </w:rPr>
  </w:style>
  <w:style w:type="paragraph" w:styleId="Prrafodelista">
    <w:name w:val="List Paragraph"/>
    <w:basedOn w:val="Standard"/>
    <w:qFormat/>
    <w:pPr>
      <w:ind w:left="700"/>
    </w:p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Pa6">
    <w:name w:val="Pa6"/>
    <w:basedOn w:val="Normal"/>
    <w:next w:val="Normal"/>
    <w:rsid w:val="00BC2C4F"/>
    <w:pPr>
      <w:autoSpaceDE w:val="0"/>
      <w:autoSpaceDN w:val="0"/>
      <w:spacing w:line="196" w:lineRule="auto"/>
    </w:pPr>
    <w:rPr>
      <w:rFonts w:ascii="ArialMT" w:eastAsia="Times New Roman" w:hAnsi="ArialMT" w:cs="Times New Roman"/>
      <w:lang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27A"/>
    <w:rPr>
      <w:rFonts w:eastAsia="Times New Roman" w:cs="Times New Roman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B627A"/>
    <w:rPr>
      <w:rFonts w:eastAsia="Times New Roman" w:cs="Times New Roman"/>
      <w:lang w:bidi="ar-SA"/>
    </w:rPr>
  </w:style>
  <w:style w:type="table" w:styleId="Tablaconcuadrcula">
    <w:name w:val="Table Grid"/>
    <w:basedOn w:val="Tablanormal"/>
    <w:uiPriority w:val="39"/>
    <w:rsid w:val="00AC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B29F1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66DF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6DFF"/>
    <w:rPr>
      <w:color w:val="808080"/>
      <w:shd w:val="clear" w:color="auto" w:fill="E6E6E6"/>
    </w:rPr>
  </w:style>
  <w:style w:type="paragraph" w:customStyle="1" w:styleId="Framecontents">
    <w:name w:val="Frame contents"/>
    <w:basedOn w:val="Textbody"/>
    <w:rsid w:val="00025B5F"/>
    <w:pPr>
      <w:autoSpaceDN w:val="0"/>
      <w:spacing w:after="0" w:line="480" w:lineRule="auto"/>
      <w:ind w:right="191"/>
      <w:jc w:val="both"/>
      <w:textAlignment w:val="baseline"/>
    </w:pPr>
    <w:rPr>
      <w:kern w:val="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9635-7719-4475-B126-A480E4DF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2021-06-29T07:40:00Z</dcterms:created>
  <dcterms:modified xsi:type="dcterms:W3CDTF">2021-06-29T07:40:00Z</dcterms:modified>
  <dc:language/>
</cp:coreProperties>
</file>