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6EB5" w:rsidRPr="007667C4" w:rsidRDefault="00025B5F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F7CA" wp14:editId="72D7F3C5">
                <wp:simplePos x="0" y="0"/>
                <wp:positionH relativeFrom="margin">
                  <wp:align>left</wp:align>
                </wp:positionH>
                <wp:positionV relativeFrom="paragraph">
                  <wp:posOffset>59</wp:posOffset>
                </wp:positionV>
                <wp:extent cx="5388610" cy="733425"/>
                <wp:effectExtent l="0" t="0" r="28575" b="28575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73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5B5F" w:rsidRPr="00EC7B14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B1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DECLARACIÓN RELATIVA A LA CONDICIÓN DE PYME</w:t>
                            </w:r>
                          </w:p>
                          <w:p w:rsidR="00025B5F" w:rsidRP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25B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_tradnl" w:eastAsia="es-ES"/>
                              </w:rPr>
                              <w:t>(ANEXO I Reglamento (UE) 651/2014 de la Comisión, de 17 de junio 2014, por el que se declaran determinadas categorías de ayudas compatibles con el mercado interior en aplicación de los artículos 107 y 108 del Tratado)</w:t>
                            </w:r>
                          </w:p>
                          <w:p w:rsid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202</w:t>
                            </w:r>
                            <w:r w:rsidR="00313379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F7CA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0;margin-top:0;width:424.3pt;height:57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" fillcolor="#e7e6e6 [3214]" strokeweight=".25pt">
                <v:textbox inset="0,0,0,0">
                  <w:txbxContent>
                    <w:p w:rsidR="00025B5F" w:rsidRPr="00EC7B14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EC7B1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DECLARACIÓN RELATIVA A LA CONDICIÓN DE PYME</w:t>
                      </w:r>
                    </w:p>
                    <w:p w:rsidR="00025B5F" w:rsidRP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25B5F">
                        <w:rPr>
                          <w:rFonts w:ascii="Arial Narrow" w:hAnsi="Arial Narrow" w:cs="Arial"/>
                          <w:sz w:val="18"/>
                          <w:szCs w:val="18"/>
                          <w:lang w:val="es-ES_tradnl" w:eastAsia="es-ES"/>
                        </w:rPr>
                        <w:t>(ANEXO I Reglamento (UE) 651/2014 de la Comisión, de 17 de junio 2014, por el que se declaran determinadas categorías de ayudas compatibles con el mercado interior en aplicación de los artículos 107 y 108 del Tratado)</w:t>
                      </w:r>
                    </w:p>
                    <w:p w:rsid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202</w:t>
                      </w:r>
                      <w:r w:rsidR="00313379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en áreas prioritarias de la RIS3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6DFF" w:rsidRPr="007667C4" w:rsidRDefault="00D2219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Identificación de la empresa</w:t>
      </w:r>
    </w:p>
    <w:p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o razón social:</w:t>
      </w:r>
    </w:p>
    <w:p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Domicilio Social:</w:t>
      </w:r>
    </w:p>
    <w:p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N.I.F:</w:t>
      </w:r>
    </w:p>
    <w:p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y cargo del principal directivo:</w:t>
      </w:r>
    </w:p>
    <w:p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166DFF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Es Pyme: 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  <w:t>□ SI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9E01B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NO</w:t>
      </w: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9E01BB" w:rsidRPr="009C02ED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 xml:space="preserve">Tipo de empresa </w:t>
      </w:r>
      <w:r w:rsidRPr="009C02ED"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  <w:t>(véase la nota explicativa)</w:t>
      </w: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autónoma</w:t>
      </w: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asociada</w:t>
      </w:r>
    </w:p>
    <w:p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vinculada</w:t>
      </w:r>
    </w:p>
    <w:p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9E01BB" w:rsidRPr="007667C4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Datos para determinar la categoría de la empresa</w:t>
      </w: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Importante: Estos datos se calcularán según lo dispuesto en el artículo 4 y 6 del anexo del Reglamento (UE) 651/2014/ de la Comisión, sobre la definición de pequeñas y medianas empresas.</w:t>
      </w:r>
    </w:p>
    <w:p w:rsidR="005C1F5D" w:rsidRPr="007667C4" w:rsidRDefault="005C1F5D" w:rsidP="005C1F5D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Periodo de referencia (*) 20</w:t>
      </w:r>
      <w:r w:rsidR="001853DF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2</w:t>
      </w: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_</w:t>
      </w:r>
    </w:p>
    <w:p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C1F5D" w:rsidRPr="007667C4" w:rsidTr="005C1F5D">
        <w:tc>
          <w:tcPr>
            <w:tcW w:w="3020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Efectivo (UTA)</w:t>
            </w:r>
          </w:p>
        </w:tc>
        <w:tc>
          <w:tcPr>
            <w:tcW w:w="3020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Volumen de negocios (**)</w:t>
            </w:r>
          </w:p>
        </w:tc>
        <w:tc>
          <w:tcPr>
            <w:tcW w:w="3021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Balance general (**)</w:t>
            </w:r>
          </w:p>
        </w:tc>
      </w:tr>
      <w:tr w:rsidR="005C1F5D" w:rsidRPr="007667C4" w:rsidTr="005C1F5D">
        <w:tc>
          <w:tcPr>
            <w:tcW w:w="3020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0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1" w:type="dxa"/>
          </w:tcPr>
          <w:p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</w:tr>
    </w:tbl>
    <w:p w:rsidR="005C1F5D" w:rsidRPr="007667C4" w:rsidRDefault="00AD46E9" w:rsidP="00386EB5">
      <w:pPr>
        <w:suppressAutoHyphens w:val="0"/>
        <w:jc w:val="both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(*) Todos los datos</w:t>
      </w:r>
      <w:r w:rsidR="00E3698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 deberán corresponder al último ejercicio contable cerrado y se calcularán con carácter anual. En empresas de nueva creación que no han cerrado aún sus cuentas, se utilizarán datos basados en estimaciones fiables realizadas durante el ejercicio financiero.</w:t>
      </w:r>
    </w:p>
    <w:p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(**) En miles de euros.</w:t>
      </w:r>
    </w:p>
    <w:p w:rsidR="005C1F5D" w:rsidRPr="007667C4" w:rsidRDefault="005C1F5D" w:rsidP="00E3698B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698B" w:rsidRPr="007667C4" w:rsidTr="00E3698B">
        <w:tc>
          <w:tcPr>
            <w:tcW w:w="9061" w:type="dxa"/>
          </w:tcPr>
          <w:p w:rsidR="00E3698B" w:rsidRPr="007667C4" w:rsidRDefault="00E3698B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FECHA, LUGAR SELLO Y FIRMA DEL REPRESENTANTE LEGAL DE LA ENTIDAD SOLICITANTE</w:t>
            </w:r>
          </w:p>
          <w:p w:rsidR="00E3698B" w:rsidRPr="007667C4" w:rsidRDefault="00E3698B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  <w:p w:rsidR="009B540C" w:rsidRDefault="00E3698B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En_____________________________________, a</w:t>
            </w:r>
            <w:r w:rsidR="00313379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_______________</w:t>
            </w: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de_____________ de 20</w:t>
            </w:r>
            <w:r w:rsidR="001853DF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2</w:t>
            </w:r>
            <w:r w:rsidR="00313379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1</w:t>
            </w:r>
          </w:p>
          <w:p w:rsidR="009B540C" w:rsidRDefault="009B540C" w:rsidP="009B540C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  <w:p w:rsidR="00313379" w:rsidRDefault="00313379" w:rsidP="009B540C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  <w:p w:rsidR="00313379" w:rsidRDefault="00313379" w:rsidP="009B540C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  <w:p w:rsidR="00313379" w:rsidRPr="007667C4" w:rsidRDefault="009B540C" w:rsidP="00313379">
            <w:pPr>
              <w:suppressAutoHyphens w:val="0"/>
              <w:jc w:val="center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F</w:t>
            </w:r>
            <w:r w:rsidR="00E3698B"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irma</w:t>
            </w:r>
          </w:p>
        </w:tc>
      </w:tr>
    </w:tbl>
    <w:p w:rsidR="00984B38" w:rsidRDefault="00984B38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:rsidR="00D2219B" w:rsidRPr="007667C4" w:rsidRDefault="00D2219B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lastRenderedPageBreak/>
        <w:t>NOTA EXPLICATIVA</w:t>
      </w:r>
    </w:p>
    <w:p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RELATIVA A LOS TIPOS DE EMPRESAS CONSIDERADOS PARA CALCULAR LOS EFECTIVOS Y LOS</w:t>
      </w:r>
    </w:p>
    <w:p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IMPORTES FINANCIEROS</w:t>
      </w:r>
    </w:p>
    <w:p w:rsidR="00D2219B" w:rsidRPr="007667C4" w:rsidRDefault="00D2219B" w:rsidP="00D2219B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2"/>
          <w:szCs w:val="22"/>
          <w:lang w:bidi="ar-SA"/>
        </w:rPr>
      </w:pPr>
    </w:p>
    <w:p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06AC">
        <w:rPr>
          <w:rFonts w:ascii="Arial Narrow" w:hAnsi="Arial Narrow"/>
          <w:b/>
          <w:color w:val="000000"/>
          <w:sz w:val="20"/>
          <w:szCs w:val="20"/>
        </w:rPr>
        <w:t>TIPOS DE EMPRESAS</w:t>
      </w:r>
    </w:p>
    <w:p w:rsidR="00025B5F" w:rsidRPr="00D2219B" w:rsidRDefault="00025B5F" w:rsidP="00025B5F">
      <w:pPr>
        <w:pStyle w:val="Prrafodelista"/>
        <w:suppressAutoHyphens w:val="0"/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  <w:sz w:val="20"/>
          <w:szCs w:val="20"/>
        </w:rPr>
      </w:pP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La definición de PYME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1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 distingue tres tipos de empresa en función del tipo de relación que mantiene con otras empresas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respecto a participación en el capital, derechos de voto o derecho a ejercer una influencia dominante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Arial"/>
          <w:iCs/>
          <w:color w:val="000000"/>
          <w:sz w:val="20"/>
          <w:szCs w:val="20"/>
          <w:vertAlign w:val="superscript"/>
          <w:lang w:bidi="ar-SA"/>
        </w:rPr>
        <w:t>2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1: empresa autónoma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 con diferencia el caso más frecuente. Abarca todas las empresas que no pertenecen a ninguno de los otros dos tipos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(asociadas o vinculadas).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autónoma si: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:rsidR="00025B5F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no posee una participación igualo superior al 25%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en otra empresa.</w:t>
      </w:r>
    </w:p>
    <w:p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:rsidR="00025B5F" w:rsidRPr="00D2219B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el 25 %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o más de la misma no es propiedad directa de otra empresa u organismo público ni de varias empresas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vinculadas entre sí o varios organismos públicos, salvo determinadas excepciones 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4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>).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y no elabora cuentas consolidadas, ni está incluida en las cuentas de una empresa que elabore cuentas consolidadas, 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por tanto no es una empresa vinculada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2: empresa asociada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está constituido por las empresas que mantienen lazos significativos de asociación financiera con otras empresas,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sin que ninguna ejerza, directa o indirectamente, un control efectivo sobre la otra. Son asoc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iadas las empresas que ni son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autónomas ni están vinculadas entre sí.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asociada de otra empresa si: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>y el 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dicha empresa, 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si dicha empresa 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y 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el </w:t>
      </w:r>
      <w:r w:rsidRPr="000806AC">
        <w:rPr>
          <w:rFonts w:ascii="Arial Narrow" w:hAnsi="Arial Narrow"/>
          <w:color w:val="000000"/>
          <w:sz w:val="20"/>
          <w:szCs w:val="20"/>
        </w:rPr>
        <w:t>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la empresa solicitante, y la empresa solicitante no elabora cuentas consolidadas que incluyan a dicha empresa por consolidación, ni está incluida por consolidación en las cuentas de dicha empresa ni en las de ninguna empresa vinculada a ella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3: empresa vinculada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corresponde a la situación económica de las empresas que forman parte de u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n grupo que controla, directa o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indirectamente, la mayoría de su capital o derechos de voto (aunque sea a través de acuerdos o de personas físicas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accionistas), o que puede ejercer una influencia dominante sobre la empresa. Son casos men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os habituales que en general se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diferencian claramente de los dos tipos anteriores.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Para evitar dificultades de interpretación a las empresas, la Comisión Europea ha definido es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te tipo de empresas utilizando,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cuando se adapten al objeto de la definición, las condiciones incluidas en el artículo 1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de la Directiva 83/349/CEE del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Consejo, de 13 de junio de 1983, basada en la letra g) del apartado 3 del artículo 54 del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Tratado, relativa a las cuentas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consolidadas (</w:t>
      </w:r>
      <w:r w:rsidRPr="000806AC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6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), que se aplica desde hace años.</w:t>
      </w: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Por lo tanto, una empresa sabe, por lo general, de forma inmediata si está vinculada, en tanto que ya está sujeta a la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obligación de elaborar cuentas consolidadas en virtud de dicha Directiva o está incluida por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consolidación en las cuentas de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una empresa obligada a elaborar cuentas consolidadas.</w:t>
      </w:r>
    </w:p>
    <w:p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E0E0E"/>
          <w:sz w:val="20"/>
          <w:szCs w:val="20"/>
        </w:rPr>
      </w:pPr>
      <w:r w:rsidRPr="000806AC">
        <w:rPr>
          <w:rFonts w:ascii="Arial Narrow" w:hAnsi="Arial Narrow"/>
          <w:b/>
          <w:color w:val="0E0E0E"/>
          <w:sz w:val="20"/>
          <w:szCs w:val="20"/>
        </w:rPr>
        <w:lastRenderedPageBreak/>
        <w:t>LOS EFECTIVOS Y UNIDADES DE TRABAJO ANUAL (</w:t>
      </w:r>
      <w:r w:rsidRPr="000806AC">
        <w:rPr>
          <w:rFonts w:ascii="Arial Narrow" w:hAnsi="Arial Narrow"/>
          <w:b/>
          <w:color w:val="0E0E0E"/>
          <w:sz w:val="20"/>
          <w:szCs w:val="20"/>
          <w:vertAlign w:val="superscript"/>
        </w:rPr>
        <w:t>7</w:t>
      </w:r>
      <w:r w:rsidRPr="000806AC">
        <w:rPr>
          <w:rFonts w:ascii="Arial Narrow" w:hAnsi="Arial Narrow"/>
          <w:b/>
          <w:color w:val="0E0E0E"/>
          <w:sz w:val="20"/>
          <w:szCs w:val="20"/>
        </w:rPr>
        <w:t>)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de una empresa corresponden al número de unidades de trabajo anual (UTA).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¿Quiénes se incluyen en los efectivos?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asalariados de la empresa,</w:t>
      </w:r>
    </w:p>
    <w:p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las personas que trabajan para la empresa que mantengan una relación de subordinación con la misma y estén asimiladas</w:t>
      </w:r>
      <w:r>
        <w:rPr>
          <w:rFonts w:ascii="Arial Narrow" w:hAnsi="Arial Narrow"/>
          <w:color w:val="0E0E0E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E0E0E"/>
          <w:sz w:val="20"/>
          <w:szCs w:val="20"/>
        </w:rPr>
        <w:t>a los asalariados con arreglo a la legislación nacional,</w:t>
      </w:r>
    </w:p>
    <w:p w:rsidR="00025B5F" w:rsidRPr="000806AC" w:rsidRDefault="00025B5F" w:rsidP="00025B5F">
      <w:pPr>
        <w:pStyle w:val="Prrafodelista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propietarios que dirigen su empresa,</w:t>
      </w:r>
    </w:p>
    <w:p w:rsidR="00025B5F" w:rsidRPr="000806AC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Pr="000806AC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socios que ejerzan una actividad regular en la empresa y disfruten de ventajas financieras por parte de la empresa.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aprendices o alumnos de formación profesional con contrato de aprendizaje o formación p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rofesional no se contabilizarán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dentro de los efectivos.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Modo de calcular los efectivos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Una UTA corresponde a una persona que haya trabajado en la empresa o por cuenta de </w:t>
      </w:r>
      <w:r w:rsidR="009B540C"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esta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 a jornada completa durante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todo el año de que se trate</w:t>
      </w:r>
      <w:r w:rsidRPr="000806AC">
        <w:rPr>
          <w:rFonts w:ascii="Arial Narrow" w:hAnsi="Arial Narrow" w:cs="Times New Roman"/>
          <w:color w:val="3D3D3D"/>
          <w:sz w:val="20"/>
          <w:szCs w:val="20"/>
          <w:lang w:bidi="ar-SA"/>
        </w:rPr>
        <w:t xml:space="preserve">.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se contabilizan en UTA.</w:t>
      </w:r>
    </w:p>
    <w:p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El trabajo de las personas que no hayan trabajado todo el año o lo hayan hecho a tiempo parcial</w:t>
      </w:r>
      <w:r w:rsidRPr="000806AC">
        <w:rPr>
          <w:rFonts w:ascii="Arial Narrow" w:hAnsi="Arial Narrow" w:cs="Times New Roman"/>
          <w:color w:val="2D2D2D"/>
          <w:sz w:val="20"/>
          <w:szCs w:val="20"/>
          <w:lang w:bidi="ar-SA"/>
        </w:rPr>
        <w:t xml:space="preserve">,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independientemente de su</w:t>
      </w:r>
    </w:p>
    <w:p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duración, así como el trabajo estacional, se contabiliza en fracciones de UTA.</w:t>
      </w:r>
    </w:p>
    <w:p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No se contabiliza la duración de los permisos de maternidad o permisos parentales.</w:t>
      </w:r>
    </w:p>
    <w:p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(1)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presente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texto,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término definición se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refiere al anexo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Recomendaci￳n"/>
        </w:smartTagPr>
        <w:r w:rsidRPr="004D2441">
          <w:rPr>
            <w:rFonts w:ascii="Arial Narrow" w:hAnsi="Arial Narrow"/>
            <w:bCs/>
            <w:sz w:val="16"/>
            <w:szCs w:val="16"/>
            <w:lang w:val="es-ES_tradnl"/>
          </w:rPr>
          <w:t>la Recomendación</w:t>
        </w:r>
      </w:smartTag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2003/ 361/CE de </w:t>
      </w:r>
      <w:smartTag w:uri="urn:schemas-microsoft-com:office:smarttags" w:element="PersonName">
        <w:smartTagPr>
          <w:attr w:name="ProductID" w:val="la Comisi￳n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Comisión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, sobre a definición de pequeñas y medianas empresas. </w:t>
      </w:r>
    </w:p>
    <w:p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>(2)</w:t>
      </w: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3 de la deflnici6n. </w:t>
      </w:r>
    </w:p>
    <w:p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(3)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términos de participación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derechos de voto, se tendrá en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cuenta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mayor de los dos porcentajes. A dicho porcentaje se añadirá el porcentaje de participación que cualquier otra empresa vinculada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accionista posea sobre la empresa en cuestión (apartado 2 del artículo 3 de la definición). </w:t>
      </w:r>
    </w:p>
    <w:p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(4)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seguir siendo considerada autónoma, aunque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se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alcance o se supere este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límite del 25 % cuando corresponda a alguno de los tipos de inversores que se indican a continuación (siempre que los inversores no sean empresas vinculadas a la empresa solicitante): </w:t>
      </w:r>
    </w:p>
    <w:p w:rsidR="00025B5F" w:rsidRPr="004D2441" w:rsidRDefault="00025B5F" w:rsidP="00025B5F">
      <w:pPr>
        <w:pStyle w:val="NormalWeb"/>
        <w:tabs>
          <w:tab w:val="left" w:pos="748"/>
        </w:tabs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a)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sociedades públicas de participación, sociedades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riesgo,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o grupos de personas físicas que realicen una actividad regular de inversión en capital riesgo (inversores providenciales o </w:t>
      </w:r>
      <w:r w:rsidRPr="004D2441">
        <w:rPr>
          <w:rFonts w:ascii="Arial Narrow" w:hAnsi="Arial Narrow"/>
          <w:i/>
          <w:sz w:val="16"/>
          <w:szCs w:val="16"/>
          <w:lang w:val="es-ES_tradnl"/>
        </w:rPr>
        <w:t xml:space="preserve">business </w:t>
      </w:r>
      <w:r w:rsidR="009B540C" w:rsidRPr="004D2441">
        <w:rPr>
          <w:rFonts w:ascii="Arial Narrow" w:hAnsi="Arial Narrow"/>
          <w:i/>
          <w:sz w:val="16"/>
          <w:szCs w:val="16"/>
          <w:lang w:val="es-ES_tradnl"/>
        </w:rPr>
        <w:t>Àngels</w:t>
      </w:r>
      <w:r w:rsidRPr="004D2441">
        <w:rPr>
          <w:rFonts w:ascii="Arial Narrow" w:hAnsi="Arial Narrow"/>
          <w:bCs/>
          <w:i/>
          <w:iCs/>
          <w:sz w:val="16"/>
          <w:szCs w:val="16"/>
          <w:lang w:val="es-ES_tradnl"/>
        </w:rPr>
        <w:t xml:space="preserve">)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inviertan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fondos propios en empresas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sin cotización bursátil, siempre y cuando la inversión de dichos 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business </w:t>
      </w:r>
      <w:r w:rsidR="009B540C" w:rsidRPr="004D2441">
        <w:rPr>
          <w:rFonts w:ascii="Arial Narrow" w:hAnsi="Arial Narrow"/>
          <w:i/>
          <w:iCs/>
          <w:sz w:val="16"/>
          <w:szCs w:val="16"/>
          <w:lang w:val="es-ES_tradnl"/>
        </w:rPr>
        <w:t>Àngels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la misma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no supere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1 250 000 euros; </w:t>
      </w:r>
    </w:p>
    <w:p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b)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universidades o centros de investigación sin fines lucrativos; </w:t>
      </w:r>
    </w:p>
    <w:p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c)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inversores institucionales, incluidos los fondos de desarrollo regional. </w:t>
      </w:r>
    </w:p>
    <w:p w:rsidR="00025B5F" w:rsidRPr="004D2441" w:rsidRDefault="00025B5F" w:rsidP="00025B5F">
      <w:pPr>
        <w:pStyle w:val="NormalWeb"/>
        <w:spacing w:before="0" w:beforeAutospacing="0" w:after="0" w:afterAutospacing="0"/>
        <w:ind w:left="748" w:hanging="4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(Segundo párrafo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apartado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 del artículo 3 de la definición). </w:t>
      </w:r>
    </w:p>
    <w:p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561" w:hanging="561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(5) </w:t>
      </w:r>
      <w:r w:rsidRPr="004D2441">
        <w:rPr>
          <w:rFonts w:ascii="Arial Narrow" w:hAnsi="Arial Narrow"/>
          <w:sz w:val="16"/>
          <w:szCs w:val="16"/>
          <w:lang w:val="es-ES_tradnl"/>
        </w:rPr>
        <w:t>—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Si el domicilio social de la empresa está ubicado en un Estado miembro que ha previsto una excepción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obligación de elaborar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dichas cuentas con arreglo a la séptima Directiva 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831349/CEE,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 empresa debe verificar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específicamente que no cumple ninguna 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las condiciones establecidas en el apartado 3 del artículo 3 de la definición. </w:t>
      </w:r>
    </w:p>
    <w:p w:rsidR="00025B5F" w:rsidRPr="004D2441" w:rsidRDefault="00025B5F" w:rsidP="00025B5F">
      <w:pPr>
        <w:pStyle w:val="NormalWeb"/>
        <w:tabs>
          <w:tab w:val="left" w:pos="561"/>
        </w:tabs>
        <w:spacing w:before="0" w:beforeAutospacing="0" w:after="0" w:afterAutospacing="0"/>
        <w:ind w:left="561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— 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En algunos casos poco frecuentes, una empresa puede estar vinculada a otra a través de una persona 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grupo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que actúen de común acuerdo (apartado 3 del artículo 3 de la definición). </w:t>
      </w:r>
    </w:p>
    <w:p w:rsidR="00025B5F" w:rsidRPr="004D2441" w:rsidRDefault="00025B5F" w:rsidP="00025B5F">
      <w:pPr>
        <w:pStyle w:val="NormalWeb"/>
        <w:numPr>
          <w:ilvl w:val="0"/>
          <w:numId w:val="13"/>
        </w:numPr>
        <w:tabs>
          <w:tab w:val="left" w:pos="187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considerarse sólo asociada. </w:t>
      </w:r>
    </w:p>
    <w:p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374"/>
        <w:jc w:val="both"/>
        <w:rPr>
          <w:rFonts w:ascii="Arial Narrow" w:hAnsi="Arial Narrow"/>
          <w:bCs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Para determinar si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está vinculada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no, debe verificarse,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para cada una de las tres situaciones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mencionadas, si cumple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alguna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las condiciones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establecidas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apartado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 la definición, en su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caso a través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una persona o grupo de personas físicas que actúen de común acuerdo. </w:t>
      </w:r>
    </w:p>
    <w:p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(6)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DO L 193 de 18.7.1983, p. 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cuya última modificación la constituye </w:t>
      </w:r>
      <w:smartTag w:uri="urn:schemas-microsoft-com:office:smarttags" w:element="PersonName">
        <w:smartTagPr>
          <w:attr w:name="ProductID" w:val="la Directiva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Directiva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2001(65/CE del Parlamento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Europeo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Consejo (DO 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283 de 27.10.2001,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p. 28). </w:t>
      </w:r>
    </w:p>
    <w:p w:rsidR="00D2219B" w:rsidRPr="007667C4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(7)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5 de la definición. </w:t>
      </w:r>
    </w:p>
    <w:sectPr w:rsidR="00D2219B" w:rsidRPr="007667C4" w:rsidSect="0098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701" w:left="1418" w:header="107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2E" w:rsidRDefault="00713B2E">
      <w:r>
        <w:separator/>
      </w:r>
    </w:p>
  </w:endnote>
  <w:endnote w:type="continuationSeparator" w:id="0">
    <w:p w:rsidR="00713B2E" w:rsidRDefault="007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8" w:rsidRDefault="00674F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38" w:rsidRDefault="009E01BB" w:rsidP="00984B38">
    <w:pPr>
      <w:pStyle w:val="Piedepgina"/>
      <w:jc w:val="center"/>
    </w:pPr>
    <w:r>
      <w:tab/>
    </w:r>
    <w:sdt>
      <w:sdtPr>
        <w:rPr>
          <w:rFonts w:ascii="Arial Narrow" w:hAnsi="Arial Narrow"/>
          <w:sz w:val="22"/>
          <w:szCs w:val="22"/>
        </w:rPr>
        <w:id w:val="-920798443"/>
        <w:docPartObj>
          <w:docPartGallery w:val="Page Numbers (Bottom of Page)"/>
          <w:docPartUnique/>
        </w:docPartObj>
      </w:sdtPr>
      <w:sdtEndPr/>
      <w:sdtContent>
        <w:r w:rsidRPr="00477E16">
          <w:rPr>
            <w:rFonts w:ascii="Arial Narrow" w:hAnsi="Arial Narrow"/>
            <w:sz w:val="22"/>
            <w:szCs w:val="22"/>
          </w:rPr>
          <w:fldChar w:fldCharType="begin"/>
        </w:r>
        <w:r w:rsidRPr="00477E16">
          <w:rPr>
            <w:rFonts w:ascii="Arial Narrow" w:hAnsi="Arial Narrow"/>
            <w:sz w:val="22"/>
            <w:szCs w:val="22"/>
          </w:rPr>
          <w:instrText>PAGE   \* MERGEFORMAT</w:instrText>
        </w:r>
        <w:r w:rsidRPr="00477E16">
          <w:rPr>
            <w:rFonts w:ascii="Arial Narrow" w:hAnsi="Arial Narrow"/>
            <w:sz w:val="22"/>
            <w:szCs w:val="22"/>
          </w:rPr>
          <w:fldChar w:fldCharType="separate"/>
        </w:r>
        <w:r w:rsidR="00674F58">
          <w:rPr>
            <w:rFonts w:ascii="Arial Narrow" w:hAnsi="Arial Narrow"/>
            <w:noProof/>
            <w:sz w:val="22"/>
            <w:szCs w:val="22"/>
          </w:rPr>
          <w:t>1</w:t>
        </w:r>
        <w:r w:rsidRPr="00477E16">
          <w:rPr>
            <w:rFonts w:ascii="Arial Narrow" w:hAnsi="Arial Narrow"/>
            <w:sz w:val="22"/>
            <w:szCs w:val="22"/>
          </w:rPr>
          <w:fldChar w:fldCharType="end"/>
        </w:r>
      </w:sdtContent>
    </w:sdt>
    <w:r w:rsidRPr="00477E16">
      <w:rPr>
        <w:rFonts w:ascii="Arial Narrow" w:hAnsi="Arial Narrow"/>
        <w:sz w:val="22"/>
        <w:szCs w:val="22"/>
      </w:rPr>
      <w:tab/>
    </w:r>
    <w:r w:rsidR="00984B3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946375A" wp14:editId="05C638BD">
          <wp:simplePos x="0" y="0"/>
          <wp:positionH relativeFrom="column">
            <wp:posOffset>9360</wp:posOffset>
          </wp:positionH>
          <wp:positionV relativeFrom="paragraph">
            <wp:posOffset>38160</wp:posOffset>
          </wp:positionV>
          <wp:extent cx="1267560" cy="528840"/>
          <wp:effectExtent l="0" t="0" r="8790" b="4560"/>
          <wp:wrapTopAndBottom/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B38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07B5140" wp14:editId="35E8CCA2">
          <wp:simplePos x="0" y="0"/>
          <wp:positionH relativeFrom="column">
            <wp:posOffset>3145679</wp:posOffset>
          </wp:positionH>
          <wp:positionV relativeFrom="paragraph">
            <wp:posOffset>104760</wp:posOffset>
          </wp:positionV>
          <wp:extent cx="2174400" cy="392400"/>
          <wp:effectExtent l="0" t="0" r="0" b="7650"/>
          <wp:wrapTopAndBottom/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8" w:rsidRDefault="00674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2E" w:rsidRDefault="00713B2E">
      <w:r>
        <w:separator/>
      </w:r>
    </w:p>
  </w:footnote>
  <w:footnote w:type="continuationSeparator" w:id="0">
    <w:p w:rsidR="00713B2E" w:rsidRDefault="0071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8" w:rsidRDefault="00674F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38" w:rsidRDefault="00984B38" w:rsidP="00984B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-172085</wp:posOffset>
          </wp:positionV>
          <wp:extent cx="802640" cy="685165"/>
          <wp:effectExtent l="0" t="0" r="0" b="635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2" name="Imagen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-246380</wp:posOffset>
          </wp:positionV>
          <wp:extent cx="2409825" cy="676275"/>
          <wp:effectExtent l="0" t="0" r="9525" b="9525"/>
          <wp:wrapTight wrapText="bothSides">
            <wp:wrapPolygon edited="0">
              <wp:start x="0" y="0"/>
              <wp:lineTo x="0" y="21296"/>
              <wp:lineTo x="21515" y="21296"/>
              <wp:lineTo x="21515" y="0"/>
              <wp:lineTo x="0" y="0"/>
            </wp:wrapPolygon>
          </wp:wrapTight>
          <wp:docPr id="1" name="Imagen 1" descr="aciisi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iisi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1BB" w:rsidRPr="00984B38" w:rsidRDefault="009E01BB" w:rsidP="00984B3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8" w:rsidRDefault="00674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A1"/>
    <w:multiLevelType w:val="hybridMultilevel"/>
    <w:tmpl w:val="2A905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3F7"/>
    <w:multiLevelType w:val="hybridMultilevel"/>
    <w:tmpl w:val="518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7F4"/>
    <w:multiLevelType w:val="multilevel"/>
    <w:tmpl w:val="8AA6A4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7C6756"/>
    <w:multiLevelType w:val="hybridMultilevel"/>
    <w:tmpl w:val="2026BB56"/>
    <w:lvl w:ilvl="0" w:tplc="80165666">
      <w:start w:val="2"/>
      <w:numFmt w:val="bullet"/>
      <w:lvlText w:val="—"/>
      <w:lvlJc w:val="left"/>
      <w:pPr>
        <w:tabs>
          <w:tab w:val="num" w:pos="547"/>
        </w:tabs>
        <w:ind w:left="547" w:hanging="360"/>
      </w:pPr>
      <w:rPr>
        <w:rFonts w:ascii="Helvetica, sans-serif" w:eastAsia="Times New Roman" w:hAnsi="Helvetica, sans-serif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350136D2"/>
    <w:multiLevelType w:val="multilevel"/>
    <w:tmpl w:val="8AF2F2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5" w15:restartNumberingAfterBreak="0">
    <w:nsid w:val="39DA1CA1"/>
    <w:multiLevelType w:val="hybridMultilevel"/>
    <w:tmpl w:val="D4F8D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64D"/>
    <w:multiLevelType w:val="hybridMultilevel"/>
    <w:tmpl w:val="56CADD5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8305762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32A64"/>
    <w:multiLevelType w:val="hybridMultilevel"/>
    <w:tmpl w:val="FE40A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720AA"/>
    <w:multiLevelType w:val="hybridMultilevel"/>
    <w:tmpl w:val="B4E8B9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74F5C"/>
    <w:multiLevelType w:val="multilevel"/>
    <w:tmpl w:val="9D148118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10" w15:restartNumberingAfterBreak="0">
    <w:nsid w:val="715F2790"/>
    <w:multiLevelType w:val="hybridMultilevel"/>
    <w:tmpl w:val="F5D478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7194C"/>
    <w:multiLevelType w:val="hybridMultilevel"/>
    <w:tmpl w:val="C97C4B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86E78"/>
    <w:multiLevelType w:val="hybridMultilevel"/>
    <w:tmpl w:val="527E20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64778"/>
    <w:multiLevelType w:val="multilevel"/>
    <w:tmpl w:val="00504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8F6678"/>
    <w:multiLevelType w:val="multilevel"/>
    <w:tmpl w:val="A188524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5"/>
    <w:rsid w:val="000067FC"/>
    <w:rsid w:val="00025B5F"/>
    <w:rsid w:val="000806AC"/>
    <w:rsid w:val="000D3293"/>
    <w:rsid w:val="0013386C"/>
    <w:rsid w:val="00166DFF"/>
    <w:rsid w:val="001853DF"/>
    <w:rsid w:val="001C3471"/>
    <w:rsid w:val="00232B41"/>
    <w:rsid w:val="002A3702"/>
    <w:rsid w:val="002D1081"/>
    <w:rsid w:val="00313379"/>
    <w:rsid w:val="00321CEE"/>
    <w:rsid w:val="00386EB5"/>
    <w:rsid w:val="00430FBA"/>
    <w:rsid w:val="00477E16"/>
    <w:rsid w:val="004D0309"/>
    <w:rsid w:val="004D2441"/>
    <w:rsid w:val="00501F26"/>
    <w:rsid w:val="005704D2"/>
    <w:rsid w:val="005C1F5D"/>
    <w:rsid w:val="005F1F35"/>
    <w:rsid w:val="00616354"/>
    <w:rsid w:val="00633510"/>
    <w:rsid w:val="00674F58"/>
    <w:rsid w:val="0068048C"/>
    <w:rsid w:val="006D3494"/>
    <w:rsid w:val="006D4916"/>
    <w:rsid w:val="00713B2E"/>
    <w:rsid w:val="007667C4"/>
    <w:rsid w:val="00814853"/>
    <w:rsid w:val="00841F85"/>
    <w:rsid w:val="00933BE3"/>
    <w:rsid w:val="009538F6"/>
    <w:rsid w:val="00971043"/>
    <w:rsid w:val="00984B38"/>
    <w:rsid w:val="009B540C"/>
    <w:rsid w:val="009C02ED"/>
    <w:rsid w:val="009E01BB"/>
    <w:rsid w:val="009F0FEB"/>
    <w:rsid w:val="00A57CE1"/>
    <w:rsid w:val="00AB627A"/>
    <w:rsid w:val="00AC70E0"/>
    <w:rsid w:val="00AD46E9"/>
    <w:rsid w:val="00BC12BB"/>
    <w:rsid w:val="00BC2C4F"/>
    <w:rsid w:val="00C26654"/>
    <w:rsid w:val="00C85C66"/>
    <w:rsid w:val="00CB29F1"/>
    <w:rsid w:val="00D2219B"/>
    <w:rsid w:val="00D63A9D"/>
    <w:rsid w:val="00D714FE"/>
    <w:rsid w:val="00D75021"/>
    <w:rsid w:val="00D94E5B"/>
    <w:rsid w:val="00E33C5F"/>
    <w:rsid w:val="00E3698B"/>
    <w:rsid w:val="00E61857"/>
    <w:rsid w:val="00E84C3A"/>
    <w:rsid w:val="00EC7B14"/>
    <w:rsid w:val="00ED68B7"/>
    <w:rsid w:val="00EF6C4D"/>
    <w:rsid w:val="00F6037E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8">
    <w:name w:val="heading 8"/>
    <w:qFormat/>
    <w:pPr>
      <w:keepNext/>
      <w:widowControl w:val="0"/>
      <w:jc w:val="both"/>
      <w:outlineLvl w:val="7"/>
    </w:pPr>
    <w:rPr>
      <w:rFonts w:ascii="Arial" w:hAnsi="Arial" w:cs="Arial"/>
      <w:i/>
      <w:sz w:val="16"/>
      <w:szCs w:val="20"/>
    </w:rPr>
  </w:style>
  <w:style w:type="paragraph" w:styleId="Ttulo9">
    <w:name w:val="heading 9"/>
    <w:qFormat/>
    <w:pPr>
      <w:keepNext/>
      <w:widowControl w:val="0"/>
      <w:outlineLvl w:val="8"/>
    </w:pPr>
    <w:rPr>
      <w:rFonts w:ascii="Arial" w:hAnsi="Arial" w:cs="Arial"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cabezado">
    <w:name w:val="header"/>
    <w:basedOn w:val="Standard"/>
    <w:link w:val="EncabezadoCar"/>
    <w:pPr>
      <w:tabs>
        <w:tab w:val="center" w:pos="4240"/>
        <w:tab w:val="right" w:pos="8500"/>
      </w:tabs>
    </w:pPr>
  </w:style>
  <w:style w:type="paragraph" w:styleId="Piedepgina">
    <w:name w:val="footer"/>
    <w:basedOn w:val="Standard"/>
    <w:link w:val="PiedepginaCar"/>
    <w:pPr>
      <w:tabs>
        <w:tab w:val="center" w:pos="4240"/>
        <w:tab w:val="right" w:pos="8500"/>
      </w:tabs>
    </w:pPr>
  </w:style>
  <w:style w:type="paragraph" w:styleId="Textoindependiente3">
    <w:name w:val="Body Text 3"/>
    <w:basedOn w:val="Standard"/>
    <w:qFormat/>
    <w:pPr>
      <w:jc w:val="both"/>
    </w:pPr>
    <w:rPr>
      <w:rFonts w:ascii="Arial" w:hAnsi="Arial" w:cs="Arial"/>
      <w:sz w:val="18"/>
      <w:szCs w:val="20"/>
    </w:rPr>
  </w:style>
  <w:style w:type="paragraph" w:customStyle="1" w:styleId="Footnote">
    <w:name w:val="Footnote"/>
    <w:basedOn w:val="Standard"/>
    <w:qFormat/>
    <w:rPr>
      <w:sz w:val="20"/>
      <w:szCs w:val="20"/>
    </w:rPr>
  </w:style>
  <w:style w:type="paragraph" w:styleId="Puesto">
    <w:name w:val="Title"/>
    <w:basedOn w:val="Standard"/>
    <w:qFormat/>
    <w:pPr>
      <w:jc w:val="center"/>
    </w:pPr>
    <w:rPr>
      <w:b/>
      <w:sz w:val="20"/>
      <w:szCs w:val="20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Prrafodelista">
    <w:name w:val="List Paragraph"/>
    <w:basedOn w:val="Standard"/>
    <w:qFormat/>
    <w:pPr>
      <w:ind w:left="700"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Pa6">
    <w:name w:val="Pa6"/>
    <w:basedOn w:val="Normal"/>
    <w:next w:val="Normal"/>
    <w:rsid w:val="00BC2C4F"/>
    <w:pPr>
      <w:autoSpaceDE w:val="0"/>
      <w:autoSpaceDN w:val="0"/>
      <w:spacing w:line="196" w:lineRule="auto"/>
    </w:pPr>
    <w:rPr>
      <w:rFonts w:ascii="ArialMT" w:eastAsia="Times New Roman" w:hAnsi="ArialMT" w:cs="Times New Roman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7A"/>
    <w:rPr>
      <w:rFonts w:eastAsia="Times New Roman" w:cs="Times New Roman"/>
      <w:lang w:bidi="ar-SA"/>
    </w:rPr>
  </w:style>
  <w:style w:type="character" w:customStyle="1" w:styleId="EncabezadoCar">
    <w:name w:val="Encabezado Car"/>
    <w:basedOn w:val="Fuentedeprrafopredeter"/>
    <w:link w:val="Encabezado"/>
    <w:rsid w:val="00AB627A"/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39"/>
    <w:rsid w:val="00A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29F1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66D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6DFF"/>
    <w:rPr>
      <w:color w:val="808080"/>
      <w:shd w:val="clear" w:color="auto" w:fill="E6E6E6"/>
    </w:rPr>
  </w:style>
  <w:style w:type="paragraph" w:customStyle="1" w:styleId="Framecontents">
    <w:name w:val="Frame contents"/>
    <w:basedOn w:val="Textbody"/>
    <w:rsid w:val="00025B5F"/>
    <w:pPr>
      <w:autoSpaceDN w:val="0"/>
      <w:spacing w:after="0" w:line="480" w:lineRule="auto"/>
      <w:ind w:right="191"/>
      <w:jc w:val="both"/>
      <w:textAlignment w:val="baseline"/>
    </w:pPr>
    <w:rPr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9740-D706-4B80-9DBD-DA3F4F0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2020-12-09T11:12:00Z</dcterms:created>
  <dcterms:modified xsi:type="dcterms:W3CDTF">2020-12-09T11:12:00Z</dcterms:modified>
  <dc:language/>
</cp:coreProperties>
</file>